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系统性风险、债务期限和信用利差期限结构 - ScienceDirect</w:t>
      </w:r>
      <w:br/>
      <w:hyperlink r:id="rId7" w:history="1">
        <w:r>
          <w:rPr>
            <w:color w:val="2980b9"/>
            <w:u w:val="single"/>
          </w:rPr>
          <w:t xml:space="preserve">https://www.sciencedirect.com/science/article/pii/S0304405X20302610</w:t>
        </w:r>
      </w:hyperlink>
    </w:p>
    <w:p>
      <w:pPr>
        <w:pStyle w:val="Heading1"/>
      </w:pPr>
      <w:bookmarkStart w:id="2" w:name="_Toc2"/>
      <w:r>
        <w:t>Article summary:</w:t>
      </w:r>
      <w:bookmarkEnd w:id="2"/>
    </w:p>
    <w:p>
      <w:pPr>
        <w:jc w:val="both"/>
      </w:pPr>
      <w:r>
        <w:rPr/>
        <w:t xml:space="preserve">1. Corporate debt maturities are pro-cyclical and firms with higher betas tend to have longer maturities, while shorter maturities amplify the contribution of credit spreads to aggregate shocks sensitivity.</w:t>
      </w:r>
    </w:p>
    <w:p>
      <w:pPr>
        <w:jc w:val="both"/>
      </w:pPr>
      <w:r>
        <w:rPr/>
        <w:t xml:space="preserve">2. A dynamic capital structure model is proposed to explain these facts, where leverage and maturity choice are interdependent, reflecting the trade-offs in the discounting of long-term debt liquidity, the risk of short-term debt repayment, and the benefits of short-term debt as a commitment tool for timely leverage adjustments.</w:t>
      </w:r>
    </w:p>
    <w:p>
      <w:pPr>
        <w:jc w:val="both"/>
      </w:pPr>
      <w:r>
        <w:rPr/>
        <w:t xml:space="preserve">3. Shortening debt maturities can simultaneously increase short-term credit spreads and reduce long-term credit spreads, and short-term debt maturities can amplify the sensitivity of corporate credit spreads to aggregate shocks, especially for firms with high leverage or systemic exposure.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"Systemic Risk, Debt Maturity, and Credit Spread Term Structure" presents a dynamic capital structure model to explain the relationship between corporate debt maturities and credit risk. The authors document several empirical facts linking firm maturity dynamics and credit risk to firms' systemic risk exposures. They then build a dynamic capital structure model that endogenizes firms' leverage and maturity choices over the business cycle.</w:t>
      </w:r>
    </w:p>
    <w:p>
      <w:pPr>
        <w:jc w:val="both"/>
      </w:pPr>
      <w:r>
        <w:rPr/>
        <w:t xml:space="preserve"/>
      </w:r>
    </w:p>
    <w:p>
      <w:pPr>
        <w:jc w:val="both"/>
      </w:pPr>
      <w:r>
        <w:rPr/>
        <w:t xml:space="preserve">Overall, the article provides valuable insights into the interplay between leverage dynamics and debt maturities, as well as the impact of term dynamics on the term structure of credit spreads. However, there are some potential biases and limitations in the article that need to be considered.</w:t>
      </w:r>
    </w:p>
    <w:p>
      <w:pPr>
        <w:jc w:val="both"/>
      </w:pPr>
      <w:r>
        <w:rPr/>
        <w:t xml:space="preserve"/>
      </w:r>
    </w:p>
    <w:p>
      <w:pPr>
        <w:jc w:val="both"/>
      </w:pPr>
      <w:r>
        <w:rPr/>
        <w:t xml:space="preserve">One potential bias is that the authors focus primarily on corporate debt maturities without considering other factors that may affect credit risk, such as industry-specific risks or macroeconomic conditions. While they do acknowledge that external economic conditions can affect firms' leverage decisions, they do not explore these factors in depth.</w:t>
      </w:r>
    </w:p>
    <w:p>
      <w:pPr>
        <w:jc w:val="both"/>
      </w:pPr>
      <w:r>
        <w:rPr/>
        <w:t xml:space="preserve"/>
      </w:r>
    </w:p>
    <w:p>
      <w:pPr>
        <w:jc w:val="both"/>
      </w:pPr>
      <w:r>
        <w:rPr/>
        <w:t xml:space="preserve">Another limitation is that the authors assume a Nash equilibrium of a dynamic game between shareholders and their "future selves" to obtain a time-consistent capital structure policy throughout the business cycle. This assumption may not hold in practice, as shareholders may have conflicting interests or short-term incentives that could lead to suboptimal decisions.</w:t>
      </w:r>
    </w:p>
    <w:p>
      <w:pPr>
        <w:jc w:val="both"/>
      </w:pPr>
      <w:r>
        <w:rPr/>
        <w:t xml:space="preserve"/>
      </w:r>
    </w:p>
    <w:p>
      <w:pPr>
        <w:jc w:val="both"/>
      </w:pPr>
      <w:r>
        <w:rPr/>
        <w:t xml:space="preserve">Additionally, while the authors provide empirical evidence for their findings on firms' systemic exposure and debt maturities, they do not explore potential counterarguments or alternative explanations for these relationships. For example, it is possible that firms with higher systemic exposure choose longer debt maturities because they have more stable cash flows or stronger collateral than other firms.</w:t>
      </w:r>
    </w:p>
    <w:p>
      <w:pPr>
        <w:jc w:val="both"/>
      </w:pPr>
      <w:r>
        <w:rPr/>
        <w:t xml:space="preserve"/>
      </w:r>
    </w:p>
    <w:p>
      <w:pPr>
        <w:jc w:val="both"/>
      </w:pPr>
      <w:r>
        <w:rPr/>
        <w:t xml:space="preserve">Finally, while the authors discuss the impact of debt maturity dynamics on credit spreads during the 2008-2009 financial crisis, they do not fully explore potential risks associated with changes in credit spreads or corporate debt structures more broadly. For example, shorter debt maturities may increase financial distress costs if companies are unable to roll over maturing debt at favorable rates.</w:t>
      </w:r>
    </w:p>
    <w:p>
      <w:pPr>
        <w:jc w:val="both"/>
      </w:pPr>
      <w:r>
        <w:rPr/>
        <w:t xml:space="preserve"/>
      </w:r>
    </w:p>
    <w:p>
      <w:pPr>
        <w:jc w:val="both"/>
      </w:pPr>
      <w:r>
        <w:rPr/>
        <w:t xml:space="preserve">In conclusion, while this article provides valuable insights into corporate debt maturity dynamics and credit risk, it is important to consider its potential biases and limitations when interpreting its findings. Further research is needed to fully understand these relationships and their implications for financial stability.</w:t>
      </w:r>
    </w:p>
    <w:p>
      <w:pPr>
        <w:pStyle w:val="Heading1"/>
      </w:pPr>
      <w:bookmarkStart w:id="5" w:name="_Toc5"/>
      <w:r>
        <w:t>Topics for further research:</w:t>
      </w:r>
      <w:bookmarkEnd w:id="5"/>
    </w:p>
    <w:p>
      <w:pPr>
        <w:spacing w:after="0"/>
        <w:numPr>
          <w:ilvl w:val="0"/>
          <w:numId w:val="2"/>
        </w:numPr>
      </w:pPr>
      <w:r>
        <w:rPr/>
        <w:t xml:space="preserve">Factors affecting credit risk beyond debt maturity and systemic exposure
</w:t>
      </w:r>
    </w:p>
    <w:p>
      <w:pPr>
        <w:spacing w:after="0"/>
        <w:numPr>
          <w:ilvl w:val="0"/>
          <w:numId w:val="2"/>
        </w:numPr>
      </w:pPr>
      <w:r>
        <w:rPr/>
        <w:t xml:space="preserve">Industry-specific risks and their impact on corporate debt structures
</w:t>
      </w:r>
    </w:p>
    <w:p>
      <w:pPr>
        <w:spacing w:after="0"/>
        <w:numPr>
          <w:ilvl w:val="0"/>
          <w:numId w:val="2"/>
        </w:numPr>
      </w:pPr>
      <w:r>
        <w:rPr/>
        <w:t xml:space="preserve">Macroeconomic conditions and their influence on firms' leverage decisions
</w:t>
      </w:r>
    </w:p>
    <w:p>
      <w:pPr>
        <w:spacing w:after="0"/>
        <w:numPr>
          <w:ilvl w:val="0"/>
          <w:numId w:val="2"/>
        </w:numPr>
      </w:pPr>
      <w:r>
        <w:rPr/>
        <w:t xml:space="preserve">Shareholder conflicts and short-term incentives in capital structure decisions
</w:t>
      </w:r>
    </w:p>
    <w:p>
      <w:pPr>
        <w:spacing w:after="0"/>
        <w:numPr>
          <w:ilvl w:val="0"/>
          <w:numId w:val="2"/>
        </w:numPr>
      </w:pPr>
      <w:r>
        <w:rPr/>
        <w:t xml:space="preserve">Alternative explanations for the relationship between systemic exposure and debt maturity
</w:t>
      </w:r>
    </w:p>
    <w:p>
      <w:pPr>
        <w:numPr>
          <w:ilvl w:val="0"/>
          <w:numId w:val="2"/>
        </w:numPr>
      </w:pPr>
      <w:r>
        <w:rPr/>
        <w:t xml:space="preserve">Risks associated with changes in credit spreads and corporate debt structures</w:t>
      </w:r>
    </w:p>
    <w:p>
      <w:pPr>
        <w:pStyle w:val="Heading1"/>
      </w:pPr>
      <w:bookmarkStart w:id="6" w:name="_Toc6"/>
      <w:r>
        <w:t>Report location:</w:t>
      </w:r>
      <w:bookmarkEnd w:id="6"/>
    </w:p>
    <w:p>
      <w:hyperlink r:id="rId8" w:history="1">
        <w:r>
          <w:rPr>
            <w:color w:val="2980b9"/>
            <w:u w:val="single"/>
          </w:rPr>
          <w:t xml:space="preserve">https://www.fullpicture.app/item/959ca6e054316b56dabe444c8fdea728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CDB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405X20302610" TargetMode="External"/><Relationship Id="rId8" Type="http://schemas.openxmlformats.org/officeDocument/2006/relationships/hyperlink" Target="https://www.fullpicture.app/item/959ca6e054316b56dabe444c8fdea7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2023-03-19T07:41:02+01:00</dcterms:created>
  <dcterms:modified xsi:type="dcterms:W3CDTF">2023-03-19T07:41:02+01:00</dcterms:modified>
</cp:coreProperties>
</file>

<file path=docProps/custom.xml><?xml version="1.0" encoding="utf-8"?>
<Properties xmlns="http://schemas.openxmlformats.org/officeDocument/2006/custom-properties" xmlns:vt="http://schemas.openxmlformats.org/officeDocument/2006/docPropsVTypes"/>
</file>