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Trans-boundary air pollution spillovers: Physical transport and economic costs by distance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https://www.sciencedirect.com/science/article/pii/S0304387821001620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本文介绍了一种方法来评估跨境污染溢出对经济成本的影响，以便评估集中化与分散化环境政策的效率。</w:t>
      </w:r>
    </w:p>
    <w:p>
      <w:pPr>
        <w:jc w:val="both"/>
      </w:pPr>
      <w:r>
        <w:rPr/>
        <w:t xml:space="preserve">2. 作者使用混合两阶段最小二乘法来纠正污染内生性，并利用常见的污染和天气数据量化距离的灵活函数，以区分局部效应和溢出效应。</w:t>
      </w:r>
    </w:p>
    <w:p>
      <w:pPr>
        <w:jc w:val="both"/>
      </w:pPr>
      <w:r>
        <w:rPr/>
        <w:t xml:space="preserve">3. 作者在中国估计了小于10μg颗粒物（PM10）对制造业劳动生产率的溢出影响，并建议需要超省级环境政策或根据该方法量化的Coasian价格。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跨境空气污染溢出的经济成本和物理传输的研究。文章提出了一个方法来量化距离的灵活函数，以纠正污染内生性，并使用混合两阶段最小二乘法来适应高频（每日）污染数据和低频（年度）结果数据，从而估计了中国PM10对制造业劳动生产率的溢出效应。然而，该文章存在一些潜在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环境政策的不同选择对不同社会群体的影响。例如，在中央集权政策下，可能会给地方政府带来更多负担，而在分权政策下，则可能会导致资源分配不均等问题。此外，该文章没有考虑到环境政策实施所需的成本和时间，并且未探讨如何平衡经济发展和环境保护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其次，该文章只关注了PM10对制造业劳动生产率的影响，并未考虑其他类型污染对其他行业或人群的影响。这种片面报道可能会导致读者对整个问题有误解。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此外，该文章提出了需要超省级环境政策或Coasian价格的建议，但并未提供足够的证据来支持这些主张。文章也没有探讨其他可能的解决方案，如技术创新和环境治理等。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没有考虑到可能的风险和不确定性。例如，如果实施超省级环境政策或Coasian价格，可能会导致一些地区经济发展受到影响，并且可能会出现反弹效应。此外，该文章似乎没有平等地呈现双方的观点，并且可能存在偏袒某一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综上所述，该文章提出了一些有价值的见解和建议，但也存在一些潜在偏见和缺陷。为了更全面地评估跨境空气污染溢出对经济和社会的影响，需要进一步研究和探讨。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policy implementation costs and time
</w:t>
      </w:r>
    </w:p>
    <w:p>
      <w:pPr>
        <w:spacing w:after="0"/>
        <w:numPr>
          <w:ilvl w:val="0"/>
          <w:numId w:val="2"/>
        </w:numPr>
      </w:pPr>
      <w:r>
        <w:rPr/>
        <w:t xml:space="preserve">Impact of different environmental policies on different social groups
</w:t>
      </w:r>
    </w:p>
    <w:p>
      <w:pPr>
        <w:spacing w:after="0"/>
        <w:numPr>
          <w:ilvl w:val="0"/>
          <w:numId w:val="2"/>
        </w:numPr>
      </w:pPr>
      <w:r>
        <w:rPr/>
        <w:t xml:space="preserve">Effects of other types of pollution on other industries or populations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environmental issues</w:t>
      </w:r>
    </w:p>
    <w:p>
      <w:pPr>
        <w:spacing w:after="0"/>
        <w:numPr>
          <w:ilvl w:val="0"/>
          <w:numId w:val="2"/>
        </w:numPr>
      </w:pPr>
      <w:r>
        <w:rPr/>
        <w:t xml:space="preserve">such as technological innovation and environmental governance
</w:t>
      </w:r>
    </w:p>
    <w:p>
      <w:pPr>
        <w:spacing w:after="0"/>
        <w:numPr>
          <w:ilvl w:val="0"/>
          <w:numId w:val="2"/>
        </w:numPr>
      </w:pPr>
      <w:r>
        <w:rPr/>
        <w:t xml:space="preserve">Risks and uncertainties associated with implementing certain environmental policies
</w:t>
      </w:r>
    </w:p>
    <w:p>
      <w:pPr>
        <w:numPr>
          <w:ilvl w:val="0"/>
          <w:numId w:val="2"/>
        </w:numPr>
      </w:pPr>
      <w:r>
        <w:rPr/>
        <w:t xml:space="preserve">Balanced presentation of different perspectives on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https://www.fullpicture.app/item/953e6c72861b801497efdc273f222795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4F8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4387821001620" TargetMode="External"/><Relationship Id="rId8" Type="http://schemas.openxmlformats.org/officeDocument/2006/relationships/hyperlink" Target="https://www.fullpicture.app/item/953e6c72861b801497efdc273f2227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2023-12-29T08:45:23+01:00</dcterms:created>
  <dcterms:modified xsi:type="dcterms:W3CDTF">2023-12-29T08:45:23+01:00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