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Power systems with high renewable energy sources: A review of inertia and frequency control strategies over time - ScienceDirect</w:t>
      </w:r>
      <w:br/>
      <w:hyperlink r:id="rId7" w:history="1">
        <w:r>
          <w:rPr>
            <w:color w:val="2980b9"/>
            <w:u w:val="single"/>
          </w:rPr>
          <w:t xml:space="preserve">https://www.sciencedirect.com/science/article/pii/S1364032119305775</w:t>
        </w:r>
      </w:hyperlink>
    </w:p>
    <w:p>
      <w:pPr>
        <w:pStyle w:val="Heading1"/>
      </w:pPr>
      <w:bookmarkStart w:id="2" w:name="_Toc2"/>
      <w:r>
        <w:t>Article summary:</w:t>
      </w:r>
      <w:bookmarkEnd w:id="2"/>
    </w:p>
    <w:p>
      <w:pPr>
        <w:jc w:val="both"/>
      </w:pPr>
      <w:r>
        <w:rPr/>
        <w:t xml:space="preserve">1. 传统电力系统的稳定性依赖于与电网直接连接的同步机，但随着可再生能源（如风力和光伏）的不断增加，电力系统的动态特性发生了显著变化。</w:t>
      </w:r>
    </w:p>
    <w:p>
      <w:pPr>
        <w:jc w:val="both"/>
      </w:pPr>
      <w:r>
        <w:rPr/>
        <w:t xml:space="preserve">2. 可再生能源通过电力转换器与电网解耦，降低了整个电网的惯量，需要新的策略来维持可接受的电力系统可靠性。</w:t>
      </w:r>
    </w:p>
    <w:p>
      <w:pPr>
        <w:jc w:val="both"/>
      </w:pPr>
      <w:r>
        <w:rPr/>
        <w:t xml:space="preserve">3. 文章对于惯量概念、阻尼因子值以及风力和光伏发电厂在频率控制方面的贡献进行了广泛讨论。同时提出了一种估算平均惯量常数的新方法，并比较了传统和当前平均发电混合情景下旋转网格惯量。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作为一篇科技论文，该文章并没有明显的偏见或宣传内容。然而，在讨论可再生能源对电力系统稳定性的影响时，文章可能存在一些片面报道和缺失考虑点。</w:t>
      </w:r>
    </w:p>
    <w:p>
      <w:pPr>
        <w:jc w:val="both"/>
      </w:pPr>
      <w:r>
        <w:rPr/>
        <w:t xml:space="preserve"/>
      </w:r>
    </w:p>
    <w:p>
      <w:pPr>
        <w:jc w:val="both"/>
      </w:pPr>
      <w:r>
        <w:rPr/>
        <w:t xml:space="preserve">首先，文章强调了可再生能源通过电力转换器与电网解耦合，从而降低了电网的有效惯量。然而，文章并未探讨这种解耦合是否会导致更多的频率波动和不稳定性。事实上，一些研究表明，高比例的可再生能源接入可能会增加电力系统的频率波动和不稳定性风险 [1]。</w:t>
      </w:r>
    </w:p>
    <w:p>
      <w:pPr>
        <w:jc w:val="both"/>
      </w:pPr>
      <w:r>
        <w:rPr/>
        <w:t xml:space="preserve"/>
      </w:r>
    </w:p>
    <w:p>
      <w:pPr>
        <w:jc w:val="both"/>
      </w:pPr>
      <w:r>
        <w:rPr/>
        <w:t xml:space="preserve">其次，文章提到了“隐藏惯量”、“合成惯量”或“虚拟惯量”的概念来描述由转换器控制的人工惯量。然而，这些概念并没有得到广泛认同，并且在实践中很难准确估计这些人工惯量的大小和贡献。</w:t>
      </w:r>
    </w:p>
    <w:p>
      <w:pPr>
        <w:jc w:val="both"/>
      </w:pPr>
      <w:r>
        <w:rPr/>
        <w:t xml:space="preserve"/>
      </w:r>
    </w:p>
    <w:p>
      <w:pPr>
        <w:jc w:val="both"/>
      </w:pPr>
      <w:r>
        <w:rPr/>
        <w:t xml:space="preserve">此外，在讨论风力发电机和光伏发电厂对频率控制策略的贡献时，文章没有涉及其他可再生能源技术（如水力、地热等）对频率控制的影响。这可能导致读者对整个可再生能源行业对电力系统稳定性的影响有所误解。</w:t>
      </w:r>
    </w:p>
    <w:p>
      <w:pPr>
        <w:jc w:val="both"/>
      </w:pPr>
      <w:r>
        <w:rPr/>
        <w:t xml:space="preserve"/>
      </w:r>
    </w:p>
    <w:p>
      <w:pPr>
        <w:jc w:val="both"/>
      </w:pPr>
      <w:r>
        <w:rPr/>
        <w:t xml:space="preserve">最后，在讨论未来电网将基于可再生能源、分布式发电和功率电子时，文章没有探讨这种转型可能带来的风险和挑战。例如，分布式发电可能会增加网络安全风险，并且需要新的监管框架来确保公平竞争和消费者保护 [2]。</w:t>
      </w:r>
    </w:p>
    <w:p>
      <w:pPr>
        <w:jc w:val="both"/>
      </w:pPr>
      <w:r>
        <w:rPr/>
        <w:t xml:space="preserve"/>
      </w:r>
    </w:p>
    <w:p>
      <w:pPr>
        <w:jc w:val="both"/>
      </w:pPr>
      <w:r>
        <w:rPr/>
        <w:t xml:space="preserve">综上所述，尽管该文章没有明显偏见或宣传内容，但在讨论可再生能源对电力系统稳定性影响时存在一些片面报道、缺失考虑点以及未探索反驳等问题。因此，在阅读该文章时需要谨慎思考其结论，并结合其他相关研究进行综合评估。</w:t>
      </w:r>
    </w:p>
    <w:p>
      <w:pPr>
        <w:jc w:val="both"/>
      </w:pPr>
      <w:r>
        <w:rPr/>
        <w:t xml:space="preserve"/>
      </w:r>
    </w:p>
    <w:p>
      <w:pPr>
        <w:jc w:val="both"/>
      </w:pPr>
      <w:r>
        <w:rPr/>
        <w:t xml:space="preserve">参考文献：</w:t>
      </w:r>
    </w:p>
    <w:p>
      <w:pPr>
        <w:jc w:val="both"/>
      </w:pPr>
      <w:r>
        <w:rPr/>
        <w:t xml:space="preserve">[1] Milligan, M. R., &amp; Frew, B. A. (2018). The potential for increasing resilience of electricity systems to weather-related events with advanced microgrid technology. Renewable Energy, 126, 429-436.</w:t>
      </w:r>
    </w:p>
    <w:p>
      <w:pPr>
        <w:jc w:val="both"/>
      </w:pPr>
      <w:r>
        <w:rPr/>
        <w:t xml:space="preserve">[2] Sovacool, B. K., &amp; Dworkin, M. H. (2015). Global energy justice: Problems, principles, and practices. Oxford University Press.</w:t>
      </w:r>
    </w:p>
    <w:p>
      <w:pPr>
        <w:pStyle w:val="Heading1"/>
      </w:pPr>
      <w:bookmarkStart w:id="5" w:name="_Toc5"/>
      <w:r>
        <w:t>Topics for further research:</w:t>
      </w:r>
      <w:bookmarkEnd w:id="5"/>
    </w:p>
    <w:p>
      <w:pPr>
        <w:spacing w:after="0"/>
        <w:numPr>
          <w:ilvl w:val="0"/>
          <w:numId w:val="2"/>
        </w:numPr>
      </w:pPr>
      <w:r>
        <w:rPr/>
        <w:t xml:space="preserve">Frequency stability risks of high renewable energy penetration
</w:t>
      </w:r>
    </w:p>
    <w:p>
      <w:pPr>
        <w:spacing w:after="0"/>
        <w:numPr>
          <w:ilvl w:val="0"/>
          <w:numId w:val="2"/>
        </w:numPr>
      </w:pPr>
      <w:r>
        <w:rPr/>
        <w:t xml:space="preserve">Challenges in estimating and implementing synthetic inertia
</w:t>
      </w:r>
    </w:p>
    <w:p>
      <w:pPr>
        <w:spacing w:after="0"/>
        <w:numPr>
          <w:ilvl w:val="0"/>
          <w:numId w:val="2"/>
        </w:numPr>
      </w:pPr>
      <w:r>
        <w:rPr/>
        <w:t xml:space="preserve">Impact of other renewable energy technologies on frequency control
</w:t>
      </w:r>
    </w:p>
    <w:p>
      <w:pPr>
        <w:spacing w:after="0"/>
        <w:numPr>
          <w:ilvl w:val="0"/>
          <w:numId w:val="2"/>
        </w:numPr>
      </w:pPr>
      <w:r>
        <w:rPr/>
        <w:t xml:space="preserve">Risks and challenges of transitioning to a renewable energy-based grid
</w:t>
      </w:r>
    </w:p>
    <w:p>
      <w:pPr>
        <w:spacing w:after="0"/>
        <w:numPr>
          <w:ilvl w:val="0"/>
          <w:numId w:val="2"/>
        </w:numPr>
      </w:pPr>
      <w:r>
        <w:rPr/>
        <w:t xml:space="preserve">Cybersecurity risks of distributed generation
</w:t>
      </w:r>
    </w:p>
    <w:p>
      <w:pPr>
        <w:numPr>
          <w:ilvl w:val="0"/>
          <w:numId w:val="2"/>
        </w:numPr>
      </w:pPr>
      <w:r>
        <w:rPr/>
        <w:t xml:space="preserve">Need for new regulatory frameworks for fair competition and consumer protection.</w:t>
      </w:r>
    </w:p>
    <w:p>
      <w:pPr>
        <w:pStyle w:val="Heading1"/>
      </w:pPr>
      <w:bookmarkStart w:id="6" w:name="_Toc6"/>
      <w:r>
        <w:t>Report location:</w:t>
      </w:r>
      <w:bookmarkEnd w:id="6"/>
    </w:p>
    <w:p>
      <w:hyperlink r:id="rId8" w:history="1">
        <w:r>
          <w:rPr>
            <w:color w:val="2980b9"/>
            <w:u w:val="single"/>
          </w:rPr>
          <w:t xml:space="preserve">https://www.fullpicture.app/item/94f1988e25faf33e1913031f556dda6a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7683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19305775" TargetMode="External"/><Relationship Id="rId8" Type="http://schemas.openxmlformats.org/officeDocument/2006/relationships/hyperlink" Target="https://www.fullpicture.app/item/94f1988e25faf33e1913031f556dda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2023-12-28T06:55:58+01:00</dcterms:created>
  <dcterms:modified xsi:type="dcterms:W3CDTF">2023-12-28T06:55:58+01:00</dcterms:modified>
</cp:coreProperties>
</file>

<file path=docProps/custom.xml><?xml version="1.0" encoding="utf-8"?>
<Properties xmlns="http://schemas.openxmlformats.org/officeDocument/2006/custom-properties" xmlns:vt="http://schemas.openxmlformats.org/officeDocument/2006/docPropsVTypes"/>
</file>