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First-principles calculations and experimental investigation on SnO2@ZnO heterojunction photocatalyst with enhanced photocatalytic performance - ScienceDirect</w:t>
      </w:r>
      <w:br/>
      <w:hyperlink r:id="rId7" w:history="1">
        <w:r>
          <w:rPr>
            <w:color w:val="2980b9"/>
            <w:u w:val="single"/>
          </w:rPr>
          <w:t xml:space="preserve">https://www.sciencedirect.com/science/article/pii/S002197971930726X</w:t>
        </w:r>
      </w:hyperlink>
    </w:p>
    <w:p>
      <w:pPr>
        <w:pStyle w:val="Heading1"/>
      </w:pPr>
      <w:bookmarkStart w:id="2" w:name="_Toc2"/>
      <w:r>
        <w:t>Article summary:</w:t>
      </w:r>
      <w:bookmarkEnd w:id="2"/>
    </w:p>
    <w:p>
      <w:pPr>
        <w:jc w:val="both"/>
      </w:pPr>
      <w:r>
        <w:rPr/>
        <w:t xml:space="preserve">1. 通过简单的两步水热法成功制备了分支状SnO2@ZnO异质结光催化剂。</w:t>
      </w:r>
    </w:p>
    <w:p>
      <w:pPr>
        <w:jc w:val="both"/>
      </w:pPr>
      <w:r>
        <w:rPr/>
        <w:t xml:space="preserve">2. SnO2@ZnO纳米复合材料在可见光照射下表现出优越的光催化性能，比纯SnO2和ZnO更好。</w:t>
      </w:r>
    </w:p>
    <w:p>
      <w:pPr>
        <w:jc w:val="both"/>
      </w:pPr>
      <w:r>
        <w:rPr/>
        <w:t xml:space="preserve">3. 异质结构抑制了光生电子-空穴对的复合，分支状形态提供了大的比表面积。密度泛函理论计算结果证实，ZnO和SnO2之间的异质结构有利于将光生电子从ZnO转移到SnO2，有效提高了光生电子-空穴对的分离效果。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片面报道：文章声称SnO2@ZnO异质结光催化剂在可见光照射下具有优越的光催化性能，但没有提及其他可能存在的竞争性催化剂或与其他材料进行比较的结果。这种片面报道可能导致读者对该催化剂的实际效果产生误解。</w:t>
      </w:r>
    </w:p>
    <w:p>
      <w:pPr>
        <w:jc w:val="both"/>
      </w:pPr>
      <w:r>
        <w:rPr/>
        <w:t xml:space="preserve"/>
      </w:r>
    </w:p>
    <w:p>
      <w:pPr>
        <w:jc w:val="both"/>
      </w:pPr>
      <w:r>
        <w:rPr/>
        <w:t xml:space="preserve">2. 缺失的考虑点：文章没有提及关于SnO2@ZnO异质结光催化剂稳定性和寿命的考虑。这些因素对于实际应用中催化剂的可持续性和经济性至关重要。</w:t>
      </w:r>
    </w:p>
    <w:p>
      <w:pPr>
        <w:jc w:val="both"/>
      </w:pPr>
      <w:r>
        <w:rPr/>
        <w:t xml:space="preserve"/>
      </w:r>
    </w:p>
    <w:p>
      <w:pPr>
        <w:jc w:val="both"/>
      </w:pPr>
      <w:r>
        <w:rPr/>
        <w:t xml:space="preserve">3. 无根据的主张：文章声称SnO2@ZnO异质结光催化剂通过抑制光生电子-空穴对的复合来提高其光催化性能，但没有提供实验证据来支持这一主张。缺乏实验证据使得读者难以相信该主张是否真实可行。</w:t>
      </w:r>
    </w:p>
    <w:p>
      <w:pPr>
        <w:jc w:val="both"/>
      </w:pPr>
      <w:r>
        <w:rPr/>
        <w:t xml:space="preserve"/>
      </w:r>
    </w:p>
    <w:p>
      <w:pPr>
        <w:jc w:val="both"/>
      </w:pPr>
      <w:r>
        <w:rPr/>
        <w:t xml:space="preserve">4. 缺失证据：文章提到了密度泛函理论（DFT）计算结果，声称ZnO和SnO2之间的异质结构更有利于从ZnO向SnO2转移光生电子，从而有效提高光生电子-空穴对的分离。然而，文章没有提供这些计算结果的详细信息或相关数据，使得读者无法验证这一主张。</w:t>
      </w:r>
    </w:p>
    <w:p>
      <w:pPr>
        <w:jc w:val="both"/>
      </w:pPr>
      <w:r>
        <w:rPr/>
        <w:t xml:space="preserve"/>
      </w:r>
    </w:p>
    <w:p>
      <w:pPr>
        <w:jc w:val="both"/>
      </w:pPr>
      <w:r>
        <w:rPr/>
        <w:t xml:space="preserve">5. 未探索的反驳：文章没有探讨可能存在的其他解释或理论来解释SnO2@ZnO异质结光催化剂优越性能的原因。这种未探索的反驳可能导致读者对该研究结果的全面性产生怀疑。</w:t>
      </w:r>
    </w:p>
    <w:p>
      <w:pPr>
        <w:jc w:val="both"/>
      </w:pPr>
      <w:r>
        <w:rPr/>
        <w:t xml:space="preserve"/>
      </w:r>
    </w:p>
    <w:p>
      <w:pPr>
        <w:jc w:val="both"/>
      </w:pPr>
      <w:r>
        <w:rPr/>
        <w:t xml:space="preserve">6. 宣传内容和偏袒：文章中使用了一些宣传性语言，如“成功制备”、“优越的光催化性能”等，这可能暗示作者对其研究结果有一定偏袒。此外，文章没有提及任何潜在风险或局限性，使得读者难以全面评估该催化剂在实际应用中的可行性和可靠性。</w:t>
      </w:r>
    </w:p>
    <w:p>
      <w:pPr>
        <w:jc w:val="both"/>
      </w:pPr>
      <w:r>
        <w:rPr/>
        <w:t xml:space="preserve"/>
      </w:r>
    </w:p>
    <w:p>
      <w:pPr>
        <w:jc w:val="both"/>
      </w:pPr>
      <w:r>
        <w:rPr/>
        <w:t xml:space="preserve">总体而言，上述文章存在一些潜在偏见和问题，包括片面报道、无根据的主张、缺失证据、未探索的反驳等。为了更全面地评估该研究结果的可靠性和实用性，需要进一步深入研究和实验证据支持。</w:t>
      </w:r>
    </w:p>
    <w:p>
      <w:pPr>
        <w:pStyle w:val="Heading1"/>
      </w:pPr>
      <w:bookmarkStart w:id="5" w:name="_Toc5"/>
      <w:r>
        <w:t>Topics for further research:</w:t>
      </w:r>
      <w:bookmarkEnd w:id="5"/>
    </w:p>
    <w:p>
      <w:pPr>
        <w:spacing w:after="0"/>
        <w:numPr>
          <w:ilvl w:val="0"/>
          <w:numId w:val="2"/>
        </w:numPr>
      </w:pPr>
      <w:r>
        <w:rPr/>
        <w:t xml:space="preserve">SnO2@ZnO异质结光催化剂与其他竞争性催化剂的比较结果
</w:t>
      </w:r>
    </w:p>
    <w:p>
      <w:pPr>
        <w:spacing w:after="0"/>
        <w:numPr>
          <w:ilvl w:val="0"/>
          <w:numId w:val="2"/>
        </w:numPr>
      </w:pPr>
      <w:r>
        <w:rPr/>
        <w:t xml:space="preserve">SnO2@ZnO异质结光催化剂的稳定性和寿命考虑
</w:t>
      </w:r>
    </w:p>
    <w:p>
      <w:pPr>
        <w:spacing w:after="0"/>
        <w:numPr>
          <w:ilvl w:val="0"/>
          <w:numId w:val="2"/>
        </w:numPr>
      </w:pPr>
      <w:r>
        <w:rPr/>
        <w:t xml:space="preserve">SnO2@ZnO异质结光催化剂提高光催化性能的实验证据
</w:t>
      </w:r>
    </w:p>
    <w:p>
      <w:pPr>
        <w:spacing w:after="0"/>
        <w:numPr>
          <w:ilvl w:val="0"/>
          <w:numId w:val="2"/>
        </w:numPr>
      </w:pPr>
      <w:r>
        <w:rPr/>
        <w:t xml:space="preserve">密度泛函理论计算结果的详细信息和相关数据
</w:t>
      </w:r>
    </w:p>
    <w:p>
      <w:pPr>
        <w:spacing w:after="0"/>
        <w:numPr>
          <w:ilvl w:val="0"/>
          <w:numId w:val="2"/>
        </w:numPr>
      </w:pPr>
      <w:r>
        <w:rPr/>
        <w:t xml:space="preserve">其他可能解释SnO2@ZnO异质结光催化剂优越性能的理论或解释
</w:t>
      </w:r>
    </w:p>
    <w:p>
      <w:pPr>
        <w:numPr>
          <w:ilvl w:val="0"/>
          <w:numId w:val="2"/>
        </w:numPr>
      </w:pPr>
      <w:r>
        <w:rPr/>
        <w:t xml:space="preserve">SnO2@ZnO异质结光催化剂的潜在风险和局限性</w:t>
      </w:r>
    </w:p>
    <w:p>
      <w:pPr>
        <w:pStyle w:val="Heading1"/>
      </w:pPr>
      <w:bookmarkStart w:id="6" w:name="_Toc6"/>
      <w:r>
        <w:t>Report location:</w:t>
      </w:r>
      <w:bookmarkEnd w:id="6"/>
    </w:p>
    <w:p>
      <w:hyperlink r:id="rId8" w:history="1">
        <w:r>
          <w:rPr>
            <w:color w:val="2980b9"/>
            <w:u w:val="single"/>
          </w:rPr>
          <w:t xml:space="preserve">https://www.fullpicture.app/item/9259f8734529a195e18c489811563fd6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F6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7971930726X" TargetMode="External"/><Relationship Id="rId8" Type="http://schemas.openxmlformats.org/officeDocument/2006/relationships/hyperlink" Target="https://www.fullpicture.app/item/9259f8734529a195e18c489811563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2024-01-12T00:28:05+01:00</dcterms:created>
  <dcterms:modified xsi:type="dcterms:W3CDTF">2024-01-12T00:28:05+01:00</dcterms:modified>
</cp:coreProperties>
</file>

<file path=docProps/custom.xml><?xml version="1.0" encoding="utf-8"?>
<Properties xmlns="http://schemas.openxmlformats.org/officeDocument/2006/custom-properties" xmlns:vt="http://schemas.openxmlformats.org/officeDocument/2006/docPropsVTypes"/>
</file>