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oral vocabulary on reading visually novel words: a comparison of the dual-route-cascaded and triangle frameworks - ScienceDirect</w:t>
      </w:r>
      <w:br/>
      <w:hyperlink r:id="rId7" w:history="1">
        <w:r>
          <w:rPr>
            <w:color w:val="2980b9"/>
            <w:u w:val="single"/>
          </w:rPr>
          <w:t xml:space="preserve">https://www.sciencedirect.com/science/article/abs/pii/S0010027700001505?casa_token=xQiCHCIMoCIAAAAA%3AwvTuxdi0cCPYKTJe-ufj8TAHaRgkRa-7bHoCdtIG1eQ9wkWL1yTOgRs5NsKXHu1dDyrfgVafEfOA</w:t>
        </w:r>
      </w:hyperlink>
    </w:p>
    <w:p>
      <w:pPr>
        <w:pStyle w:val="Heading1"/>
      </w:pPr>
      <w:bookmarkStart w:id="2" w:name="_Toc2"/>
      <w:r>
        <w:t>Article summary:</w:t>
      </w:r>
      <w:bookmarkEnd w:id="2"/>
    </w:p>
    <w:p>
      <w:pPr>
        <w:jc w:val="both"/>
      </w:pPr>
      <w:r>
        <w:rPr/>
        <w:t xml:space="preserve">1. The ability to decipher a novel letter string requires knowledge of specific letter-sound correspondences, but oral vocabulary may also assist in decoding visually unfamiliar words.</w:t>
      </w:r>
    </w:p>
    <w:p>
      <w:pPr>
        <w:jc w:val="both"/>
      </w:pPr>
      <w:r>
        <w:rPr/>
        <w:t xml:space="preserve">2. Previous studies have found that pseudohomophones (non-words whose pronunciations match those of real words) are named more accurately and quickly than orthographically matched non-homophonic non-words, potentially due to the activation of word-specific information via localist representations or through the interaction of semantic and phonological information in a distributed network.</w:t>
      </w:r>
    </w:p>
    <w:p>
      <w:pPr>
        <w:jc w:val="both"/>
      </w:pPr>
      <w:r>
        <w:rPr/>
        <w:t xml:space="preserve">3. The dual-route-cascaded (DRC) and parallel-distributed processing (PDP) models of reading make different predictions regarding the effect of knowing the spoken form of a word prior to encountering it in printed form, with the DRC model allowing for bidirectional connections between lexical and non-lexical routes while the PDP model relies on statistical properties learned from all encountered words.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role of oral vocabulary in reading visually novel words and compares the predictions of the dual-route-cascaded (DRC) and triangle frameworks. The authors argue that while phonological recoding is important for decoding unfamiliar words, prior representations of phonology and semantics may also assist beginning readers. However, attempts to demonstrate this advantage have been inconclusive.</w:t>
      </w:r>
    </w:p>
    <w:p>
      <w:pPr>
        <w:jc w:val="both"/>
      </w:pPr>
      <w:r>
        <w:rPr/>
        <w:t xml:space="preserve"/>
      </w:r>
    </w:p>
    <w:p>
      <w:pPr>
        <w:jc w:val="both"/>
      </w:pPr>
      <w:r>
        <w:rPr/>
        <w:t xml:space="preserve">The article provides a detailed explanation of the DRC and triangle frameworks, including their theoretical commitments and computational implementations. The DRC model proposes two processes for converting print to sound: a lexical route for familiar orthographic forms and a non-lexical route for novel inputs via grapheme-phoneme conversion rules. The triangle framework defines the reading system as consisting of three representational domains – orthography, phonology, and semantics – linked by parallel feedforward and feedback connections.</w:t>
      </w:r>
    </w:p>
    <w:p>
      <w:pPr>
        <w:jc w:val="both"/>
      </w:pPr>
      <w:r>
        <w:rPr/>
        <w:t xml:space="preserve"/>
      </w:r>
    </w:p>
    <w:p>
      <w:pPr>
        <w:jc w:val="both"/>
      </w:pPr>
      <w:r>
        <w:rPr/>
        <w:t xml:space="preserve">While the article provides a thorough analysis of these frameworks, it is not without its biases. For example, the authors seem to favor the DRC model over the triangle framework, as they provide more detail on its implementation and make fewer references to studies supporting the latter. Additionally, they do not explore potential counterarguments or alternative explanations for their findings.</w:t>
      </w:r>
    </w:p>
    <w:p>
      <w:pPr>
        <w:jc w:val="both"/>
      </w:pPr>
      <w:r>
        <w:rPr/>
        <w:t xml:space="preserve"/>
      </w:r>
    </w:p>
    <w:p>
      <w:pPr>
        <w:jc w:val="both"/>
      </w:pPr>
      <w:r>
        <w:rPr/>
        <w:t xml:space="preserve">Furthermore, while the article acknowledges that previous attempts to demonstrate an advantage for prior representations of phonology and semantics have been inconclusive, it still presents this idea as a possibility without providing sufficient evidence or exploring potential limitations. This could be seen as promoting a particular viewpoint without fully considering opposing perspectives.</w:t>
      </w:r>
    </w:p>
    <w:p>
      <w:pPr>
        <w:jc w:val="both"/>
      </w:pPr>
      <w:r>
        <w:rPr/>
        <w:t xml:space="preserve"/>
      </w:r>
    </w:p>
    <w:p>
      <w:pPr>
        <w:jc w:val="both"/>
      </w:pPr>
      <w:r>
        <w:rPr/>
        <w:t xml:space="preserve">Overall, while the article provides valuable insights into the role of oral vocabulary in reading visually novel words and compares two prominent frameworks in reading research, it could benefit from more balanced reporting and exploration of alternative explanations.</w:t>
      </w:r>
    </w:p>
    <w:p>
      <w:pPr>
        <w:pStyle w:val="Heading1"/>
      </w:pPr>
      <w:bookmarkStart w:id="5" w:name="_Toc5"/>
      <w:r>
        <w:t>Topics for further research:</w:t>
      </w:r>
      <w:bookmarkEnd w:id="5"/>
    </w:p>
    <w:p>
      <w:pPr>
        <w:spacing w:after="0"/>
        <w:numPr>
          <w:ilvl w:val="0"/>
          <w:numId w:val="2"/>
        </w:numPr>
      </w:pPr>
      <w:r>
        <w:rPr/>
        <w:t xml:space="preserve">Alternative explanations for the role of oral vocabulary in reading visually novel words
</w:t>
      </w:r>
    </w:p>
    <w:p>
      <w:pPr>
        <w:spacing w:after="0"/>
        <w:numPr>
          <w:ilvl w:val="0"/>
          <w:numId w:val="2"/>
        </w:numPr>
      </w:pPr>
      <w:r>
        <w:rPr/>
        <w:t xml:space="preserve">Critiques of the dual-route-cascaded (DRC) and triangle frameworks
</w:t>
      </w:r>
    </w:p>
    <w:p>
      <w:pPr>
        <w:spacing w:after="0"/>
        <w:numPr>
          <w:ilvl w:val="0"/>
          <w:numId w:val="2"/>
        </w:numPr>
      </w:pPr>
      <w:r>
        <w:rPr/>
        <w:t xml:space="preserve">Evidence supporting the triangle framework in reading research
</w:t>
      </w:r>
    </w:p>
    <w:p>
      <w:pPr>
        <w:spacing w:after="0"/>
        <w:numPr>
          <w:ilvl w:val="0"/>
          <w:numId w:val="2"/>
        </w:numPr>
      </w:pPr>
      <w:r>
        <w:rPr/>
        <w:t xml:space="preserve">Limitations of the DRC model in accounting for reading processes
</w:t>
      </w:r>
    </w:p>
    <w:p>
      <w:pPr>
        <w:spacing w:after="0"/>
        <w:numPr>
          <w:ilvl w:val="0"/>
          <w:numId w:val="2"/>
        </w:numPr>
      </w:pPr>
      <w:r>
        <w:rPr/>
        <w:t xml:space="preserve">The role of context in decoding unfamiliar words
</w:t>
      </w:r>
    </w:p>
    <w:p>
      <w:pPr>
        <w:numPr>
          <w:ilvl w:val="0"/>
          <w:numId w:val="2"/>
        </w:numPr>
      </w:pPr>
      <w:r>
        <w:rPr/>
        <w:t xml:space="preserve">Developmental changes in the use of prior representations in reading</w:t>
      </w:r>
    </w:p>
    <w:p>
      <w:pPr>
        <w:pStyle w:val="Heading1"/>
      </w:pPr>
      <w:bookmarkStart w:id="6" w:name="_Toc6"/>
      <w:r>
        <w:t>Report location:</w:t>
      </w:r>
      <w:bookmarkEnd w:id="6"/>
    </w:p>
    <w:p>
      <w:hyperlink r:id="rId8" w:history="1">
        <w:r>
          <w:rPr>
            <w:color w:val="2980b9"/>
            <w:u w:val="single"/>
          </w:rPr>
          <w:t xml:space="preserve">https://www.fullpicture.app/item/91ccd51e23c13efb12fec08b70c7174f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4F3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027700001505?casa_token=xQiCHCIMoCIAAAAA%3AwvTuxdi0cCPYKTJe-ufj8TAHaRgkRa-7bHoCdtIG1eQ9wkWL1yTOgRs5NsKXHu1dDyrfgVafEfOA" TargetMode="External"/><Relationship Id="rId8" Type="http://schemas.openxmlformats.org/officeDocument/2006/relationships/hyperlink" Target="https://www.fullpicture.app/item/91ccd51e23c13efb12fec08b70c717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2024-01-03T00:15:05+01:00</dcterms:created>
  <dcterms:modified xsi:type="dcterms:W3CDTF">2024-01-03T00:15:05+01:00</dcterms:modified>
</cp:coreProperties>
</file>

<file path=docProps/custom.xml><?xml version="1.0" encoding="utf-8"?>
<Properties xmlns="http://schemas.openxmlformats.org/officeDocument/2006/custom-properties" xmlns:vt="http://schemas.openxmlformats.org/officeDocument/2006/docPropsVTypes"/>
</file>