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STRASSENMEYER v. GERMANY</w:t>
      </w:r>
      <w:br/>
      <w:hyperlink r:id="rId7" w:history="1">
        <w:r>
          <w:rPr>
            <w:color w:val="2980b9"/>
            <w:u w:val="single"/>
          </w:rPr>
          <w:t xml:space="preserve">https://hudoc.echr.coe.int/eng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案涉及被告因谋杀罪被定罪，其中关键证据是一名共同被告的审前陈述，但该共同被告在庭审中拒绝作证。警方在询问前未告知被告有权获得法庭指定辩护律师，引发了欧洲人权公约第6条第1款和第3(d)款的问题。</w:t>
      </w:r>
    </w:p>
    <w:p>
      <w:pPr>
        <w:jc w:val="both"/>
      </w:pPr>
      <w:r>
        <w:rPr/>
        <w:t xml:space="preserve">2. 案件始于1994年，当时一名德国国民在捷克共和国遇害。多年后，一位前同事向警方透露了凶手身份，并揭示了案件细节。</w:t>
      </w:r>
    </w:p>
    <w:p>
      <w:pPr>
        <w:jc w:val="both"/>
      </w:pPr>
      <w:r>
        <w:rPr/>
        <w:t xml:space="preserve">3. 在庭审中，被告拒绝作证并保持沉默。法院听取了警方官员、目击者和其他证人的证言，并接受了共同被告的审前陈述作为证据。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作为一篇法律文书，该文章主要呈现了Strassenmeyer v. Germany案件的事实和裁决结果。然而，在阅读过程中，我们可以发现一些潜在的偏见和不足之处。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首先，文章没有提供关于被告人的背景信息，这可能会影响读者对案件的理解。例如，被告人是否有前科或犯罪记录等信息可能会对判决结果产生影响。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其次，在描述证据时，文章只引用了警方和检察官提供的证言，并未探讨辩护律师提出的反驳证据。这可能会导致读者对判决结果产生质疑。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此外，在描述审判程序时，文章没有提及任何关于法庭程序或法官行为的细节。这可能会使读者无法评估审判是否公正。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最后，在呈现裁决结果时，文章没有详细说明欧洲人权法院是如何得出结论的。这可能会使读者无法理解判决结果背后的逻辑和依据。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总之，虽然该文章呈现了Strassenmeyer v. Germany案件的基本事实和裁决结果，但其存在一些潜在偏见和不足之处。因此，在阅读该文章时需要保持批判性思维，不仅要关注所呈现的信息，还要注意可能存在的偏见和缺失。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defendant in Strassenmeyer v. Germany case
</w:t>
      </w:r>
    </w:p>
    <w:p>
      <w:pPr>
        <w:spacing w:after="0"/>
        <w:numPr>
          <w:ilvl w:val="0"/>
          <w:numId w:val="2"/>
        </w:numPr>
      </w:pPr>
      <w:r>
        <w:rPr/>
        <w:t xml:space="preserve">Defense lawyer's rebuttal evidence in the case
</w:t>
      </w:r>
    </w:p>
    <w:p>
      <w:pPr>
        <w:spacing w:after="0"/>
        <w:numPr>
          <w:ilvl w:val="0"/>
          <w:numId w:val="2"/>
        </w:numPr>
      </w:pPr>
      <w:r>
        <w:rPr/>
        <w:t xml:space="preserve">Details of the court proceedings and judge's behavior
</w:t>
      </w:r>
    </w:p>
    <w:p>
      <w:pPr>
        <w:spacing w:after="0"/>
        <w:numPr>
          <w:ilvl w:val="0"/>
          <w:numId w:val="2"/>
        </w:numPr>
      </w:pPr>
      <w:r>
        <w:rPr/>
        <w:t xml:space="preserve">The reasoning and basis behind the European Court of Human Rights' decision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shortcomings in the article
</w:t>
      </w:r>
    </w:p>
    <w:p>
      <w:pPr>
        <w:numPr>
          <w:ilvl w:val="0"/>
          <w:numId w:val="2"/>
        </w:numPr>
      </w:pPr>
      <w:r>
        <w:rPr/>
        <w:t xml:space="preserve">Maintaining critical thinking while reading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https://www.fullpicture.app/item/90b132de00788c4f2765d5c2df9ce330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18E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doc.echr.coe.int/eng" TargetMode="External"/><Relationship Id="rId8" Type="http://schemas.openxmlformats.org/officeDocument/2006/relationships/hyperlink" Target="https://www.fullpicture.app/item/90b132de00788c4f2765d5c2df9ce3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2024-02-14T06:32:21+01:00</dcterms:created>
  <dcterms:modified xsi:type="dcterms:W3CDTF">2024-02-14T06:32:21+01:00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