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tail risk priced in the cross-section of Chinese mutual fund returns? - ScienceDirect</w:t>
      </w:r>
      <w:br/>
      <w:hyperlink r:id="rId7" w:history="1">
        <w:r>
          <w:rPr>
            <w:color w:val="2980b9"/>
            <w:u w:val="single"/>
          </w:rPr>
          <w:t xml:space="preserve">https://vpn.jlu.edu.cn/https/44696469646131313237446964696461bd6feb2610cba212c258e268de7790f17702c29fe5/science/article/pii/S1544612322004810?via%3Dihub=</w:t>
        </w:r>
      </w:hyperlink>
    </w:p>
    <w:p>
      <w:pPr>
        <w:pStyle w:val="Heading1"/>
      </w:pPr>
      <w:bookmarkStart w:id="2" w:name="_Toc2"/>
      <w:r>
        <w:t>Article summary:</w:t>
      </w:r>
      <w:bookmarkEnd w:id="2"/>
    </w:p>
    <w:p>
      <w:pPr>
        <w:jc w:val="both"/>
      </w:pPr>
      <w:r>
        <w:rPr/>
        <w:t xml:space="preserve">1. The article examines the relationship between tail risk and Chinese mutual fund returns, focusing on the implications of tail risk for asset pricing in the Chinese market.</w:t>
      </w:r>
    </w:p>
    <w:p>
      <w:pPr>
        <w:jc w:val="both"/>
      </w:pPr>
      <w:r>
        <w:rPr/>
        <w:t xml:space="preserve">2. The study finds that tail risk has significant explanatory power in the Chinese mutual fund market, with funds in the top tail risk quintile outperforming those in the bottom quintile by 1.85% per month.</w:t>
      </w:r>
    </w:p>
    <w:p>
      <w:pPr>
        <w:jc w:val="both"/>
      </w:pPr>
      <w:r>
        <w:rPr/>
        <w:t xml:space="preserve">3. The article also explores the characteristics of funds susceptible to tail risk, finding that they tend to be young, have high management fees, low fund flows, and high return volatility. However, unlike the US market, fund size and managerial ownership do not directly relate to tail risk exposure in China.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潜在偏见及其来源：文章没有明确提及作者的背景和利益关系，这可能导致潜在的偏见。如果作者有与中国互联网基金市场相关的利益关系，他们可能倾向于呈现结果以支持自己的观点。</w:t>
      </w:r>
    </w:p>
    <w:p>
      <w:pPr>
        <w:jc w:val="both"/>
      </w:pPr>
      <w:r>
        <w:rPr/>
        <w:t xml:space="preserve"/>
      </w:r>
    </w:p>
    <w:p>
      <w:pPr>
        <w:jc w:val="both"/>
      </w:pPr>
      <w:r>
        <w:rPr/>
        <w:t xml:space="preserve">2. 片面报道：文章只关注了中国互联网基金市场，并未考虑其他国家或地区的情况。这种片面报道可能导致结论不具有普遍适用性。</w:t>
      </w:r>
    </w:p>
    <w:p>
      <w:pPr>
        <w:jc w:val="both"/>
      </w:pPr>
      <w:r>
        <w:rPr/>
        <w:t xml:space="preserve"/>
      </w:r>
    </w:p>
    <w:p>
      <w:pPr>
        <w:jc w:val="both"/>
      </w:pPr>
      <w:r>
        <w:rPr/>
        <w:t xml:space="preserve">3. 无根据的主张：文章声称尾部风险能够解释中国互联网基金市场的预期收益率，但并未提供充分的证据来支持这一主张。缺乏详细的数据和统计分析使得读者难以验证作者所提出的观点。</w:t>
      </w:r>
    </w:p>
    <w:p>
      <w:pPr>
        <w:jc w:val="both"/>
      </w:pPr>
      <w:r>
        <w:rPr/>
        <w:t xml:space="preserve"/>
      </w:r>
    </w:p>
    <w:p>
      <w:pPr>
        <w:jc w:val="both"/>
      </w:pPr>
      <w:r>
        <w:rPr/>
        <w:t xml:space="preserve">4. 缺失的考虑点：文章没有考虑其他可能影响中国互联网基金回报率的因素，如宏观经济环境、政策变化、行业竞争等。忽略这些因素可能导致对尾部风险在资产定价中作用的过度估计。</w:t>
      </w:r>
    </w:p>
    <w:p>
      <w:pPr>
        <w:jc w:val="both"/>
      </w:pPr>
      <w:r>
        <w:rPr/>
        <w:t xml:space="preserve"/>
      </w:r>
    </w:p>
    <w:p>
      <w:pPr>
        <w:jc w:val="both"/>
      </w:pPr>
      <w:r>
        <w:rPr/>
        <w:t xml:space="preserve">5. 所提出主张的缺失证据：文章声称高尾部风险基金的回报率显著高于低尾部风险基金，但并未提供充分的证据来支持这一主张。缺乏详细的数据和统计分析使得读者难以验证作者所提出的观点。</w:t>
      </w:r>
    </w:p>
    <w:p>
      <w:pPr>
        <w:jc w:val="both"/>
      </w:pPr>
      <w:r>
        <w:rPr/>
        <w:t xml:space="preserve"/>
      </w:r>
    </w:p>
    <w:p>
      <w:pPr>
        <w:jc w:val="both"/>
      </w:pPr>
      <w:r>
        <w:rPr/>
        <w:t xml:space="preserve">6. 未探索的反驳：文章没有探讨可能存在的替代解释或反驳观点。例如，高尾部风险基金的回报率是否可以通过其他因素解释，如投资策略、管理能力等。</w:t>
      </w:r>
    </w:p>
    <w:p>
      <w:pPr>
        <w:jc w:val="both"/>
      </w:pPr>
      <w:r>
        <w:rPr/>
        <w:t xml:space="preserve"/>
      </w:r>
    </w:p>
    <w:p>
      <w:pPr>
        <w:jc w:val="both"/>
      </w:pPr>
      <w:r>
        <w:rPr/>
        <w:t xml:space="preserve">7. 宣传内容：文章中使用了一些宣传性词语，如“独特设置”、“重要新兴市场”等，这可能会给读者留下不客观和夸大其词的印象。</w:t>
      </w:r>
    </w:p>
    <w:p>
      <w:pPr>
        <w:jc w:val="both"/>
      </w:pPr>
      <w:r>
        <w:rPr/>
        <w:t xml:space="preserve"/>
      </w:r>
    </w:p>
    <w:p>
      <w:pPr>
        <w:jc w:val="both"/>
      </w:pPr>
      <w:r>
        <w:rPr/>
        <w:t xml:space="preserve">8. 偏袒：文章没有平等地呈现双方观点。它只关注了尾部风险在中国互联网基金市场中的作用，并未考虑其他可能解释结果的因素。</w:t>
      </w:r>
    </w:p>
    <w:p>
      <w:pPr>
        <w:jc w:val="both"/>
      </w:pPr>
      <w:r>
        <w:rPr/>
        <w:t xml:space="preserve"/>
      </w:r>
    </w:p>
    <w:p>
      <w:pPr>
        <w:jc w:val="both"/>
      </w:pPr>
      <w:r>
        <w:rPr/>
        <w:t xml:space="preserve">9. 是否注意到可能的风险：文章没有明确讨论中国互联网基金市场面临的潜在风险，如监管风险、流动性风险等。忽略这些风险可能导致对尾部风险影响程度的过度估计。</w:t>
      </w:r>
    </w:p>
    <w:p>
      <w:pPr>
        <w:jc w:val="both"/>
      </w:pPr>
      <w:r>
        <w:rPr/>
        <w:t xml:space="preserve"/>
      </w:r>
    </w:p>
    <w:p>
      <w:pPr>
        <w:jc w:val="both"/>
      </w:pPr>
      <w:r>
        <w:rPr/>
        <w:t xml:space="preserve">总体而言，上述文章存在一些问题和局限性。它没有提供充分的证据来支持作者的主张，并且忽略了其他可能解释结果的因素。此外，文章缺乏客观性和平衡性，可能存在潜在的偏见。因此，读者应该对这篇文章中提出的结论保持谨慎，并进一步进行自己的研究和分析。</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其他国家或地区的情况
</w:t>
      </w:r>
    </w:p>
    <w:p>
      <w:pPr>
        <w:spacing w:after="0"/>
        <w:numPr>
          <w:ilvl w:val="0"/>
          <w:numId w:val="2"/>
        </w:numPr>
      </w:pPr>
      <w:r>
        <w:rPr/>
        <w:t xml:space="preserve">尾部风险解释预期收益率的证据
</w:t>
      </w:r>
    </w:p>
    <w:p>
      <w:pPr>
        <w:spacing w:after="0"/>
        <w:numPr>
          <w:ilvl w:val="0"/>
          <w:numId w:val="2"/>
        </w:numPr>
      </w:pPr>
      <w:r>
        <w:rPr/>
        <w:t xml:space="preserve">其他可能影响基金回报率的因素
</w:t>
      </w:r>
    </w:p>
    <w:p>
      <w:pPr>
        <w:spacing w:after="0"/>
        <w:numPr>
          <w:ilvl w:val="0"/>
          <w:numId w:val="2"/>
        </w:numPr>
      </w:pPr>
      <w:r>
        <w:rPr/>
        <w:t xml:space="preserve">高尾部风险基金回报率的证据
</w:t>
      </w:r>
    </w:p>
    <w:p>
      <w:pPr>
        <w:numPr>
          <w:ilvl w:val="0"/>
          <w:numId w:val="2"/>
        </w:numPr>
      </w:pPr>
      <w:r>
        <w:rPr/>
        <w:t xml:space="preserve">替代解释或反驳观点</w:t>
      </w:r>
    </w:p>
    <w:p>
      <w:pPr>
        <w:pStyle w:val="Heading1"/>
      </w:pPr>
      <w:bookmarkStart w:id="6" w:name="_Toc6"/>
      <w:r>
        <w:t>Report location:</w:t>
      </w:r>
      <w:bookmarkEnd w:id="6"/>
    </w:p>
    <w:p>
      <w:hyperlink r:id="rId8" w:history="1">
        <w:r>
          <w:rPr>
            <w:color w:val="2980b9"/>
            <w:u w:val="single"/>
          </w:rPr>
          <w:t xml:space="preserve">https://www.fullpicture.app/item/8f3a939bb7117715bf536daa0e232662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2F9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1544612322004810?via%3Dihub=" TargetMode="External"/><Relationship Id="rId8" Type="http://schemas.openxmlformats.org/officeDocument/2006/relationships/hyperlink" Target="https://www.fullpicture.app/item/8f3a939bb7117715bf536daa0e2326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2024-03-10T17:03:51+01:00</dcterms:created>
  <dcterms:modified xsi:type="dcterms:W3CDTF">2024-03-10T17:03:51+01:00</dcterms:modified>
</cp:coreProperties>
</file>

<file path=docProps/custom.xml><?xml version="1.0" encoding="utf-8"?>
<Properties xmlns="http://schemas.openxmlformats.org/officeDocument/2006/custom-properties" xmlns:vt="http://schemas.openxmlformats.org/officeDocument/2006/docPropsVTypes"/>
</file>