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Specific Relief Act, 1963</w:t>
      </w:r>
      <w:br/>
      <w:hyperlink r:id="rId7" w:history="1">
        <w:r>
          <w:rPr>
            <w:color w:val="2980b9"/>
            <w:u w:val="single"/>
          </w:rPr>
          <w:t xml:space="preserve">https://indiankanoon.org/doc/1671917/</w:t>
        </w:r>
      </w:hyperlink>
    </w:p>
    <w:p>
      <w:pPr>
        <w:pStyle w:val="Heading1"/>
      </w:pPr>
      <w:bookmarkStart w:id="2" w:name="_Toc2"/>
      <w:r>
        <w:t>Article summary:</w:t>
      </w:r>
      <w:bookmarkEnd w:id="2"/>
    </w:p>
    <w:p>
      <w:pPr>
        <w:jc w:val="both"/>
      </w:pPr>
      <w:r>
        <w:rPr/>
        <w:t xml:space="preserve">1. The Specific Relief Act, 1963 is a central government act in India that deals with specific relief and remedies for civil rights.</w:t>
      </w:r>
    </w:p>
    <w:p>
      <w:pPr>
        <w:jc w:val="both"/>
      </w:pPr>
      <w:r>
        <w:rPr/>
        <w:t xml:space="preserve">2. The act defines various terms such as settlement, trust, and provides definitions for words and expressions used in the Indian Contract Act, 1872.</w:t>
      </w:r>
    </w:p>
    <w:p>
      <w:pPr>
        <w:jc w:val="both"/>
      </w:pPr>
      <w:r>
        <w:rPr/>
        <w:t xml:space="preserve">3. The act covers provisions for the recovery of specific immovable and movable property, suits for possession of immovable property, liability of persons in possession to deliver property, defences in suits based on contracts, cases where specific performance of contracts is enforceable,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provides an overview of the Specific Relief Act, 1963 in India. However, it is important to note that the article lacks detailed analysis and is primarily a collection of sections from the act itself. As a result, it does not provide any critical insights or analysis of the act.</w:t>
      </w:r>
    </w:p>
    <w:p>
      <w:pPr>
        <w:jc w:val="both"/>
      </w:pPr>
      <w:r>
        <w:rPr/>
        <w:t xml:space="preserve"/>
      </w:r>
    </w:p>
    <w:p>
      <w:pPr>
        <w:jc w:val="both"/>
      </w:pPr>
      <w:r>
        <w:rPr/>
        <w:t xml:space="preserve">One potential bias in the article is its promotion of the Query Alert Service offered by Indian Kanoon, which allows users to receive email alerts whenever a new judgment matches their query. This promotional content may influence readers to use this service without considering alternative sources for legal information.</w:t>
      </w:r>
    </w:p>
    <w:p>
      <w:pPr>
        <w:jc w:val="both"/>
      </w:pPr>
      <w:r>
        <w:rPr/>
        <w:t xml:space="preserve"/>
      </w:r>
    </w:p>
    <w:p>
      <w:pPr>
        <w:jc w:val="both"/>
      </w:pPr>
      <w:r>
        <w:rPr/>
        <w:t xml:space="preserve">Additionally, the article does not present both sides of the argument or explore counterarguments related to specific provisions of the act. It simply states the provisions without providing any context or discussion on their implications or potential drawbacks.</w:t>
      </w:r>
    </w:p>
    <w:p>
      <w:pPr>
        <w:jc w:val="both"/>
      </w:pPr>
      <w:r>
        <w:rPr/>
        <w:t xml:space="preserve"/>
      </w:r>
    </w:p>
    <w:p>
      <w:pPr>
        <w:jc w:val="both"/>
      </w:pPr>
      <w:r>
        <w:rPr/>
        <w:t xml:space="preserve">Furthermore, there is no evidence provided to support any claims made in the article. It simply presents sections from the act without providing any examples or case studies to illustrate how these provisions have been applied in practice.</w:t>
      </w:r>
    </w:p>
    <w:p>
      <w:pPr>
        <w:jc w:val="both"/>
      </w:pPr>
      <w:r>
        <w:rPr/>
        <w:t xml:space="preserve"/>
      </w:r>
    </w:p>
    <w:p>
      <w:pPr>
        <w:jc w:val="both"/>
      </w:pPr>
      <w:r>
        <w:rPr/>
        <w:t xml:space="preserve">The article also lacks consideration of potential risks or limitations associated with specific relief under this act. It does not discuss any potential challenges or difficulties that individuals may face when seeking specific relief for enforcing their civil rights.</w:t>
      </w:r>
    </w:p>
    <w:p>
      <w:pPr>
        <w:jc w:val="both"/>
      </w:pPr>
      <w:r>
        <w:rPr/>
        <w:t xml:space="preserve"/>
      </w:r>
    </w:p>
    <w:p>
      <w:pPr>
        <w:jc w:val="both"/>
      </w:pPr>
      <w:r>
        <w:rPr/>
        <w:t xml:space="preserve">Overall, this article falls short in providing a comprehensive and critical analysis of the Specific Relief Act, 1963. It lacks depth and fails to address important aspects such as potential biases, missing evidence, unexplored counterarguments, and promotional content.</w:t>
      </w:r>
    </w:p>
    <w:p>
      <w:pPr>
        <w:pStyle w:val="Heading1"/>
      </w:pPr>
      <w:bookmarkStart w:id="5" w:name="_Toc5"/>
      <w:r>
        <w:t>Topics for further research:</w:t>
      </w:r>
      <w:bookmarkEnd w:id="5"/>
    </w:p>
    <w:p>
      <w:pPr>
        <w:spacing w:after="0"/>
        <w:numPr>
          <w:ilvl w:val="0"/>
          <w:numId w:val="2"/>
        </w:numPr>
      </w:pPr>
      <w:r>
        <w:rPr/>
        <w:t xml:space="preserve">Critical analysis of the Specific Relief Act</w:t>
      </w:r>
    </w:p>
    <w:p>
      <w:pPr>
        <w:spacing w:after="0"/>
        <w:numPr>
          <w:ilvl w:val="0"/>
          <w:numId w:val="2"/>
        </w:numPr>
      </w:pPr>
      <w:r>
        <w:rPr/>
        <w:t xml:space="preserve">1963 in India
</w:t>
      </w:r>
    </w:p>
    <w:p>
      <w:pPr>
        <w:spacing w:after="0"/>
        <w:numPr>
          <w:ilvl w:val="0"/>
          <w:numId w:val="2"/>
        </w:numPr>
      </w:pPr>
      <w:r>
        <w:rPr/>
        <w:t xml:space="preserve">Implications and drawbacks of specific provisions in the Specific Relief Act</w:t>
      </w:r>
    </w:p>
    <w:p>
      <w:pPr>
        <w:spacing w:after="0"/>
        <w:numPr>
          <w:ilvl w:val="0"/>
          <w:numId w:val="2"/>
        </w:numPr>
      </w:pPr>
      <w:r>
        <w:rPr/>
        <w:t xml:space="preserve">1963
</w:t>
      </w:r>
    </w:p>
    <w:p>
      <w:pPr>
        <w:spacing w:after="0"/>
        <w:numPr>
          <w:ilvl w:val="0"/>
          <w:numId w:val="2"/>
        </w:numPr>
      </w:pPr>
      <w:r>
        <w:rPr/>
        <w:t xml:space="preserve">Case studies on the application of specific relief under the Specific Relief Act</w:t>
      </w:r>
    </w:p>
    <w:p>
      <w:pPr>
        <w:spacing w:after="0"/>
        <w:numPr>
          <w:ilvl w:val="0"/>
          <w:numId w:val="2"/>
        </w:numPr>
      </w:pPr>
      <w:r>
        <w:rPr/>
        <w:t xml:space="preserve">1963
</w:t>
      </w:r>
    </w:p>
    <w:p>
      <w:pPr>
        <w:spacing w:after="0"/>
        <w:numPr>
          <w:ilvl w:val="0"/>
          <w:numId w:val="2"/>
        </w:numPr>
      </w:pPr>
      <w:r>
        <w:rPr/>
        <w:t xml:space="preserve">Challenges and difficulties in seeking specific relief for civil rights enforcement in India
</w:t>
      </w:r>
    </w:p>
    <w:p>
      <w:pPr>
        <w:spacing w:after="0"/>
        <w:numPr>
          <w:ilvl w:val="0"/>
          <w:numId w:val="2"/>
        </w:numPr>
      </w:pPr>
      <w:r>
        <w:rPr/>
        <w:t xml:space="preserve">Limitations and risks associated with specific relief under the Specific Relief Act</w:t>
      </w:r>
    </w:p>
    <w:p>
      <w:pPr>
        <w:spacing w:after="0"/>
        <w:numPr>
          <w:ilvl w:val="0"/>
          <w:numId w:val="2"/>
        </w:numPr>
      </w:pPr>
      <w:r>
        <w:rPr/>
        <w:t xml:space="preserve">1963
</w:t>
      </w:r>
    </w:p>
    <w:p>
      <w:pPr>
        <w:spacing w:after="0"/>
        <w:numPr>
          <w:ilvl w:val="0"/>
          <w:numId w:val="2"/>
        </w:numPr>
      </w:pPr>
      <w:r>
        <w:rPr/>
        <w:t xml:space="preserve">Alternative sources for comprehensive information on the Specific Relief Act</w:t>
      </w:r>
    </w:p>
    <w:p>
      <w:pPr>
        <w:numPr>
          <w:ilvl w:val="0"/>
          <w:numId w:val="2"/>
        </w:numPr>
      </w:pPr>
      <w:r>
        <w:rPr/>
        <w:t xml:space="preserve">1963 in India</w:t>
      </w:r>
    </w:p>
    <w:p>
      <w:pPr>
        <w:pStyle w:val="Heading1"/>
      </w:pPr>
      <w:bookmarkStart w:id="6" w:name="_Toc6"/>
      <w:r>
        <w:t>Report location:</w:t>
      </w:r>
      <w:bookmarkEnd w:id="6"/>
    </w:p>
    <w:p>
      <w:hyperlink r:id="rId8" w:history="1">
        <w:r>
          <w:rPr>
            <w:color w:val="2980b9"/>
            <w:u w:val="single"/>
          </w:rPr>
          <w:t xml:space="preserve">https://www.fullpicture.app/item/8db32613607c44b9d07b0818a88a0b34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DD6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kanoon.org/doc/1671917/" TargetMode="External"/><Relationship Id="rId8" Type="http://schemas.openxmlformats.org/officeDocument/2006/relationships/hyperlink" Target="https://www.fullpicture.app/item/8db32613607c44b9d07b0818a88a0b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2023-12-15T06:38:29+01:00</dcterms:created>
  <dcterms:modified xsi:type="dcterms:W3CDTF">2023-12-15T06:38:29+01:00</dcterms:modified>
</cp:coreProperties>
</file>

<file path=docProps/custom.xml><?xml version="1.0" encoding="utf-8"?>
<Properties xmlns="http://schemas.openxmlformats.org/officeDocument/2006/custom-properties" xmlns:vt="http://schemas.openxmlformats.org/officeDocument/2006/docPropsVTypes"/>
</file>