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Near-Threshold RISC-V Core With DSP Extensions for Scalable IoT Endpoint Devices | IEEE Journals &amp; Magazine | IEEE Xplore</w:t>
      </w:r>
      <w:br/>
      <w:hyperlink r:id="rId7" w:history="1">
        <w:r>
          <w:rPr>
            <w:color w:val="2980b9"/>
            <w:u w:val="single"/>
          </w:rPr>
          <w:t xml:space="preserve">https://ieeexplore.ieee.org/abstract/document/7864441</w:t>
        </w:r>
      </w:hyperlink>
    </w:p>
    <w:p>
      <w:pPr>
        <w:pStyle w:val="Heading1"/>
      </w:pPr>
      <w:bookmarkStart w:id="2" w:name="_Toc2"/>
      <w:r>
        <w:t>Article summary:</w:t>
      </w:r>
      <w:bookmarkEnd w:id="2"/>
    </w:p>
    <w:p>
      <w:pPr>
        <w:jc w:val="both"/>
      </w:pPr>
      <w:r>
        <w:rPr/>
        <w:t xml:space="preserve">1. Endpoint devices for IoT require ultralow-power circuits that are flexible in their computing capabilities, from a few kOPS to GOPS.</w:t>
      </w:r>
    </w:p>
    <w:p>
      <w:pPr>
        <w:jc w:val="both"/>
      </w:pPr>
      <w:r>
        <w:rPr/>
        <w:t xml:space="preserve">2. Near-threshold (NT) operation can achieve higher energy efficiency and performance scalability through parallelism.</w:t>
      </w:r>
    </w:p>
    <w:p>
      <w:pPr>
        <w:jc w:val="both"/>
      </w:pPr>
      <w:r>
        <w:rPr/>
        <w:t xml:space="preserve">3. An open-source RISC-V processor core specifically designed for NT operation in tightly coupled multicore clusters has been developed, featuring instruction extensions and microarchitectural optimizations to increase computational density and minimize pressure toward the shared-memory hierarchy.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作为一篇学术论文，该文章并没有明显的偏见或宣传内容。然而，它可能存在一些片面报道和缺失的考虑点。</w:t>
      </w:r>
    </w:p>
    <w:p>
      <w:pPr>
        <w:jc w:val="both"/>
      </w:pPr>
      <w:r>
        <w:rPr/>
        <w:t xml:space="preserve"/>
      </w:r>
    </w:p>
    <w:p>
      <w:pPr>
        <w:jc w:val="both"/>
      </w:pPr>
      <w:r>
        <w:rPr/>
        <w:t xml:space="preserve">首先，文章强调了近阈值（NT）操作可以实现更高的能量效率和性能可扩展性，但并没有探讨这种操作模式可能带来的风险和挑战。例如，NT操作可能导致电路不稳定和可靠性问题，并且需要特殊的设计技巧来克服这些问题。</w:t>
      </w:r>
    </w:p>
    <w:p>
      <w:pPr>
        <w:jc w:val="both"/>
      </w:pPr>
      <w:r>
        <w:rPr/>
        <w:t xml:space="preserve"/>
      </w:r>
    </w:p>
    <w:p>
      <w:pPr>
        <w:jc w:val="both"/>
      </w:pPr>
      <w:r>
        <w:rPr/>
        <w:t xml:space="preserve">其次，文章提到了使用开源指令集架构（ISA）可以减少对单个IP提供商的依赖，并降低成本。然而，它没有探讨使用开源ISA可能带来的知识产权和法律方面的风险。</w:t>
      </w:r>
    </w:p>
    <w:p>
      <w:pPr>
        <w:jc w:val="both"/>
      </w:pPr>
      <w:r>
        <w:rPr/>
        <w:t xml:space="preserve"/>
      </w:r>
    </w:p>
    <w:p>
      <w:pPr>
        <w:jc w:val="both"/>
      </w:pPr>
      <w:r>
        <w:rPr/>
        <w:t xml:space="preserve">此外，在描述优化后端编译器时，文章只提到了额外指令和微架构增强如何改善信号处理内核等应用程序。然而，它没有提供足够的证据来支持这些主张，并且未探索任何反驳观点。</w:t>
      </w:r>
    </w:p>
    <w:p>
      <w:pPr>
        <w:jc w:val="both"/>
      </w:pPr>
      <w:r>
        <w:rPr/>
        <w:t xml:space="preserve"/>
      </w:r>
    </w:p>
    <w:p>
      <w:pPr>
        <w:jc w:val="both"/>
      </w:pPr>
      <w:r>
        <w:rPr/>
        <w:t xml:space="preserve">最后，在描述TCDM时，文章强调了其优点，并将其与数据缓存进行比较。然而，它没有探讨TCDM在某些情况下可能会导致更高的延迟和功耗，并且未考虑其他内存结构选项。</w:t>
      </w:r>
    </w:p>
    <w:p>
      <w:pPr>
        <w:jc w:val="both"/>
      </w:pPr>
      <w:r>
        <w:rPr/>
        <w:t xml:space="preserve"/>
      </w:r>
    </w:p>
    <w:p>
      <w:pPr>
        <w:jc w:val="both"/>
      </w:pPr>
      <w:r>
        <w:rPr/>
        <w:t xml:space="preserve">总之，尽管该文章是一篇学术论文，并且没有明显的偏见或宣传内容，但它可能存在一些片面报道、缺失考虑点以及未提供足够证据支持某些主张等问题。</w:t>
      </w:r>
    </w:p>
    <w:p>
      <w:pPr>
        <w:pStyle w:val="Heading1"/>
      </w:pPr>
      <w:bookmarkStart w:id="5" w:name="_Toc5"/>
      <w:r>
        <w:t>Topics for further research:</w:t>
      </w:r>
      <w:bookmarkEnd w:id="5"/>
    </w:p>
    <w:p>
      <w:pPr>
        <w:spacing w:after="0"/>
        <w:numPr>
          <w:ilvl w:val="0"/>
          <w:numId w:val="2"/>
        </w:numPr>
      </w:pPr>
      <w:r>
        <w:rPr/>
        <w:t xml:space="preserve">Risks and challenges of near-threshold (NT) operation
</w:t>
      </w:r>
    </w:p>
    <w:p>
      <w:pPr>
        <w:spacing w:after="0"/>
        <w:numPr>
          <w:ilvl w:val="0"/>
          <w:numId w:val="2"/>
        </w:numPr>
      </w:pPr>
      <w:r>
        <w:rPr/>
        <w:t xml:space="preserve">Intellectual property and legal risks of using open-source ISA
</w:t>
      </w:r>
    </w:p>
    <w:p>
      <w:pPr>
        <w:spacing w:after="0"/>
        <w:numPr>
          <w:ilvl w:val="0"/>
          <w:numId w:val="2"/>
        </w:numPr>
      </w:pPr>
      <w:r>
        <w:rPr/>
        <w:t xml:space="preserve">Evidence supporting claims of additional instructions and microarchitecture enhancements
</w:t>
      </w:r>
    </w:p>
    <w:p>
      <w:pPr>
        <w:spacing w:after="0"/>
        <w:numPr>
          <w:ilvl w:val="0"/>
          <w:numId w:val="2"/>
        </w:numPr>
      </w:pPr>
      <w:r>
        <w:rPr/>
        <w:t xml:space="preserve">Potential drawbacks of TCDM in terms of latency and power consumption
</w:t>
      </w:r>
    </w:p>
    <w:p>
      <w:pPr>
        <w:spacing w:after="0"/>
        <w:numPr>
          <w:ilvl w:val="0"/>
          <w:numId w:val="2"/>
        </w:numPr>
      </w:pPr>
      <w:r>
        <w:rPr/>
        <w:t xml:space="preserve">Other memory structure options not considered
</w:t>
      </w:r>
    </w:p>
    <w:p>
      <w:pPr>
        <w:numPr>
          <w:ilvl w:val="0"/>
          <w:numId w:val="2"/>
        </w:numPr>
      </w:pPr>
      <w:r>
        <w:rPr/>
        <w:t xml:space="preserve">Insufficient evidence to support certain claims</w:t>
      </w:r>
    </w:p>
    <w:p>
      <w:pPr>
        <w:pStyle w:val="Heading1"/>
      </w:pPr>
      <w:bookmarkStart w:id="6" w:name="_Toc6"/>
      <w:r>
        <w:t>Report location:</w:t>
      </w:r>
      <w:bookmarkEnd w:id="6"/>
    </w:p>
    <w:p>
      <w:hyperlink r:id="rId8" w:history="1">
        <w:r>
          <w:rPr>
            <w:color w:val="2980b9"/>
            <w:u w:val="single"/>
          </w:rPr>
          <w:t xml:space="preserve">https://www.fullpicture.app/item/88a77f86f9ecdd77ddd39d12b6b2eaf7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AF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864441" TargetMode="External"/><Relationship Id="rId8" Type="http://schemas.openxmlformats.org/officeDocument/2006/relationships/hyperlink" Target="https://www.fullpicture.app/item/88a77f86f9ecdd77ddd39d12b6b2ea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2023-12-24T20:36:52+01:00</dcterms:created>
  <dcterms:modified xsi:type="dcterms:W3CDTF">2023-12-24T20:36:52+01:00</dcterms:modified>
</cp:coreProperties>
</file>

<file path=docProps/custom.xml><?xml version="1.0" encoding="utf-8"?>
<Properties xmlns="http://schemas.openxmlformats.org/officeDocument/2006/custom-properties" xmlns:vt="http://schemas.openxmlformats.org/officeDocument/2006/docPropsVTypes"/>
</file>