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后金_百度百科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https://baike.baidu.com/item/%E5%90%8E%E9%87%91/1548481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后金的历史：文章介绍了后金的崛起、经济发展、征服东西部和统一蒙古等历史事件。</w:t>
      </w:r>
    </w:p>
    <w:p>
      <w:pPr>
        <w:jc w:val="both"/>
      </w:pPr>
      <w:r>
        <w:rPr/>
        <w:t xml:space="preserve">2. 后金的领土范围：文章讨论了后金的行政区划、旗帜制度和“兄弟国家”等领土相关内容。</w:t>
      </w:r>
    </w:p>
    <w:p>
      <w:pPr>
        <w:jc w:val="both"/>
      </w:pPr>
      <w:r>
        <w:rPr/>
        <w:t xml:space="preserve">3. 后金的政治体制：文章探讨了后金的政治体制，包括中央组织和各级官员等。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很遗憾，由于该文章的内容并未给出具体的描述和分析，因此无法对其进行批判性分析。请提供更具体的信息和细节，以便进行更深入的讨论。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and data
</w:t>
      </w:r>
    </w:p>
    <w:p>
      <w:pPr>
        <w:spacing w:after="0"/>
        <w:numPr>
          <w:ilvl w:val="0"/>
          <w:numId w:val="2"/>
        </w:numPr>
      </w:pPr>
      <w:r>
        <w:rPr/>
        <w:t xml:space="preserve">Analysis of 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similar cases or situations
</w:t>
      </w:r>
    </w:p>
    <w:p>
      <w:pPr>
        <w:spacing w:after="0"/>
        <w:numPr>
          <w:ilvl w:val="0"/>
          <w:numId w:val="2"/>
        </w:numPr>
      </w:pPr>
      <w:r>
        <w:rPr/>
        <w:t xml:space="preserve">Evaluation of potential solutions or strategies
</w:t>
      </w:r>
    </w:p>
    <w:p>
      <w:pPr>
        <w:numPr>
          <w:ilvl w:val="0"/>
          <w:numId w:val="2"/>
        </w:numPr>
      </w:pPr>
      <w:r>
        <w:rPr/>
        <w:t xml:space="preserve">Conclusion and recommendations for future action.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https://www.fullpicture.app/item/887d552979b00c402ff0bdc28987f32f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33F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90%8E%E9%87%91/1548481" TargetMode="External"/><Relationship Id="rId8" Type="http://schemas.openxmlformats.org/officeDocument/2006/relationships/hyperlink" Target="https://www.fullpicture.app/item/887d552979b00c402ff0bdc28987f3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2024-03-10T08:49:10+01:00</dcterms:created>
  <dcterms:modified xsi:type="dcterms:W3CDTF">2024-03-10T08:49:10+01:00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