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枸橼酸盐抗凝治疗需要早期持续肾脏替代治疗的急性肾损伤危重症多发性创伤患者的安全性和代谢耐受性 - PMC</w:t>
      </w:r>
      <w:br/>
      <w:hyperlink r:id="rId7" w:history="1">
        <w:r>
          <w:rPr>
            <w:color w:val="2980b9"/>
            <w:u w:val="single"/>
          </w:rPr>
          <w:t xml:space="preserve">https://www.ncbi.nlm.nih.gov/pmc/articles/PMC10526994/</w:t>
        </w:r>
      </w:hyperlink>
    </w:p>
    <w:p>
      <w:pPr>
        <w:pStyle w:val="Heading1"/>
      </w:pPr>
      <w:bookmarkStart w:id="2" w:name="_Toc2"/>
      <w:r>
        <w:t>Article summary:</w:t>
      </w:r>
      <w:bookmarkEnd w:id="2"/>
    </w:p>
    <w:p>
      <w:pPr>
        <w:jc w:val="both"/>
      </w:pPr>
      <w:r>
        <w:rPr/>
        <w:t xml:space="preserve">1. 早期急性肾损伤（AKI）是多发性创伤患者常见且严重的并发症，死亡率增加。</w:t>
      </w:r>
    </w:p>
    <w:p>
      <w:pPr>
        <w:jc w:val="both"/>
      </w:pPr>
      <w:r>
        <w:rPr/>
        <w:t xml:space="preserve">2. 对于需要早期持续肾脏替代治疗的重度多发性创伤患者，枸橼酸盐抗凝治疗显示出更好的安全性和血流动力学稳定性。</w:t>
      </w:r>
    </w:p>
    <w:p>
      <w:pPr>
        <w:jc w:val="both"/>
      </w:pPr>
      <w:r>
        <w:rPr/>
        <w:t xml:space="preserve">3. 枸橼酸盐抗凝治疗在柠檬酸盐代谢受损方面没有记录的安全性风险。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潜在偏见及其来源：文章没有明确提到作者的潜在利益冲突或研究资助来源，这可能导致潜在的偏见。读者无法确定作者是否有与该研究相关的利益关系，这可能影响了结果的客观性和可靠性。</w:t>
      </w:r>
    </w:p>
    <w:p>
      <w:pPr>
        <w:jc w:val="both"/>
      </w:pPr>
      <w:r>
        <w:rPr/>
        <w:t xml:space="preserve"/>
      </w:r>
    </w:p>
    <w:p>
      <w:pPr>
        <w:jc w:val="both"/>
      </w:pPr>
      <w:r>
        <w:rPr/>
        <w:t xml:space="preserve">2. 片面报道：文章只回顾性地研究了60例严重多发性创伤患者，并未与其他治疗方法进行比较。缺乏对其他抗凝治疗方法的评估，使得读者无法全面了解枸橼酸盐抗凝治疗相对于其他选择的优势和劣势。</w:t>
      </w:r>
    </w:p>
    <w:p>
      <w:pPr>
        <w:jc w:val="both"/>
      </w:pPr>
      <w:r>
        <w:rPr/>
        <w:t xml:space="preserve"/>
      </w:r>
    </w:p>
    <w:p>
      <w:pPr>
        <w:jc w:val="both"/>
      </w:pPr>
      <w:r>
        <w:rPr/>
        <w:t xml:space="preserve">3. 无根据的主张：文章声称早期软性连续肾脏替代治疗联合低血流率枸橼酸盐抗凝和循环枸橼酸盐血症显示出更好的安全性和血流动力学稳定性，但并未提供足够的证据支持这一主张。缺乏对比组和随机对照试验，使得结论缺乏科学依据。</w:t>
      </w:r>
    </w:p>
    <w:p>
      <w:pPr>
        <w:jc w:val="both"/>
      </w:pPr>
      <w:r>
        <w:rPr/>
        <w:t xml:space="preserve"/>
      </w:r>
    </w:p>
    <w:p>
      <w:pPr>
        <w:jc w:val="both"/>
      </w:pPr>
      <w:r>
        <w:rPr/>
        <w:t xml:space="preserve">4. 缺失的考虑点：文章未提及可能的副作用和风险，如枸橼酸盐抗凝治疗可能导致代谢紊乱或其他不良反应。此外，文章也未考虑到患者个体差异和其他潜在的干扰因素，如基础疾病、药物治疗等。</w:t>
      </w:r>
    </w:p>
    <w:p>
      <w:pPr>
        <w:jc w:val="both"/>
      </w:pPr>
      <w:r>
        <w:rPr/>
        <w:t xml:space="preserve"/>
      </w:r>
    </w:p>
    <w:p>
      <w:pPr>
        <w:jc w:val="both"/>
      </w:pPr>
      <w:r>
        <w:rPr/>
        <w:t xml:space="preserve">5. 所提出主张的缺失证据：文章声称枸橼酸盐抗凝治疗在重度多发性创伤患者中具有更好的安全性和血流动力学稳定性，但并未提供足够的证据支持这一主张。缺乏对比组和随机对照试验，使得结论缺乏科学依据。</w:t>
      </w:r>
    </w:p>
    <w:p>
      <w:pPr>
        <w:jc w:val="both"/>
      </w:pPr>
      <w:r>
        <w:rPr/>
        <w:t xml:space="preserve"/>
      </w:r>
    </w:p>
    <w:p>
      <w:pPr>
        <w:jc w:val="both"/>
      </w:pPr>
      <w:r>
        <w:rPr/>
        <w:t xml:space="preserve">6. 未探索的反驳：文章没有探讨其他学者对于枸橼酸盐抗凝治疗在早期持续肾脏替代治疗中的观点和争议。这种片面性可能导致读者对该主张的客观性产生质疑。</w:t>
      </w:r>
    </w:p>
    <w:p>
      <w:pPr>
        <w:jc w:val="both"/>
      </w:pPr>
      <w:r>
        <w:rPr/>
        <w:t xml:space="preserve"/>
      </w:r>
    </w:p>
    <w:p>
      <w:pPr>
        <w:jc w:val="both"/>
      </w:pPr>
      <w:r>
        <w:rPr/>
        <w:t xml:space="preserve">7. 宣传内容：文章中存在一些宣传性语言，如将枸橼酸盐抗凝治疗描述为“最合适”的选择，并强调其优势。这种宣传性语言可能会误导读者，并使他们对该治疗方法的效果和安全性产生过高的期望。</w:t>
      </w:r>
    </w:p>
    <w:p>
      <w:pPr>
        <w:jc w:val="both"/>
      </w:pPr>
      <w:r>
        <w:rPr/>
        <w:t xml:space="preserve"/>
      </w:r>
    </w:p>
    <w:p>
      <w:pPr>
        <w:jc w:val="both"/>
      </w:pPr>
      <w:r>
        <w:rPr/>
        <w:t xml:space="preserve">综上所述，上述文章存在一些潜在偏见和不足之处，包括片面报道、无根据的主张、缺失的考虑点和证据不足等。读者应保持批判思维，并结合其他相关研究来评估该治疗方法的有效性和安全性。</w:t>
      </w:r>
    </w:p>
    <w:p>
      <w:pPr>
        <w:pStyle w:val="Heading1"/>
      </w:pPr>
      <w:bookmarkStart w:id="5" w:name="_Toc5"/>
      <w:r>
        <w:t>Topics for further research:</w:t>
      </w:r>
      <w:bookmarkEnd w:id="5"/>
    </w:p>
    <w:p>
      <w:pPr>
        <w:spacing w:after="0"/>
        <w:numPr>
          <w:ilvl w:val="0"/>
          <w:numId w:val="2"/>
        </w:numPr>
      </w:pPr>
      <w:r>
        <w:rPr/>
        <w:t xml:space="preserve">潜在利益冲突或研究资助来源
</w:t>
      </w:r>
    </w:p>
    <w:p>
      <w:pPr>
        <w:spacing w:after="0"/>
        <w:numPr>
          <w:ilvl w:val="0"/>
          <w:numId w:val="2"/>
        </w:numPr>
      </w:pPr>
      <w:r>
        <w:rPr/>
        <w:t xml:space="preserve">对比其他治疗方法的评估
</w:t>
      </w:r>
    </w:p>
    <w:p>
      <w:pPr>
        <w:spacing w:after="0"/>
        <w:numPr>
          <w:ilvl w:val="0"/>
          <w:numId w:val="2"/>
        </w:numPr>
      </w:pPr>
      <w:r>
        <w:rPr/>
        <w:t xml:space="preserve">缺乏足够的证据支持主张
</w:t>
      </w:r>
    </w:p>
    <w:p>
      <w:pPr>
        <w:spacing w:after="0"/>
        <w:numPr>
          <w:ilvl w:val="0"/>
          <w:numId w:val="2"/>
        </w:numPr>
      </w:pPr>
      <w:r>
        <w:rPr/>
        <w:t xml:space="preserve">可能的副作用和风险
</w:t>
      </w:r>
    </w:p>
    <w:p>
      <w:pPr>
        <w:spacing w:after="0"/>
        <w:numPr>
          <w:ilvl w:val="0"/>
          <w:numId w:val="2"/>
        </w:numPr>
      </w:pPr>
      <w:r>
        <w:rPr/>
        <w:t xml:space="preserve">缺乏对比组和随机对照试验
</w:t>
      </w:r>
    </w:p>
    <w:p>
      <w:pPr>
        <w:numPr>
          <w:ilvl w:val="0"/>
          <w:numId w:val="2"/>
        </w:numPr>
      </w:pPr>
      <w:r>
        <w:rPr/>
        <w:t xml:space="preserve">未探索其他学者观点和争议</w:t>
      </w:r>
    </w:p>
    <w:p>
      <w:pPr>
        <w:pStyle w:val="Heading1"/>
      </w:pPr>
      <w:bookmarkStart w:id="6" w:name="_Toc6"/>
      <w:r>
        <w:t>Report location:</w:t>
      </w:r>
      <w:bookmarkEnd w:id="6"/>
    </w:p>
    <w:p>
      <w:hyperlink r:id="rId8" w:history="1">
        <w:r>
          <w:rPr>
            <w:color w:val="2980b9"/>
            <w:u w:val="single"/>
          </w:rPr>
          <w:t xml:space="preserve">https://www.fullpicture.app/item/886a68c9e366a9b3060ce3d2d7657909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046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526994/" TargetMode="External"/><Relationship Id="rId8" Type="http://schemas.openxmlformats.org/officeDocument/2006/relationships/hyperlink" Target="https://www.fullpicture.app/item/886a68c9e366a9b3060ce3d2d76579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2024-04-16T06:36:45+02:00</dcterms:created>
  <dcterms:modified xsi:type="dcterms:W3CDTF">2024-04-16T06:36:45+02:00</dcterms:modified>
</cp:coreProperties>
</file>

<file path=docProps/custom.xml><?xml version="1.0" encoding="utf-8"?>
<Properties xmlns="http://schemas.openxmlformats.org/officeDocument/2006/custom-properties" xmlns:vt="http://schemas.openxmlformats.org/officeDocument/2006/docPropsVTypes"/>
</file>