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PHYTON | Biochar Production and Application in Forest Soils-A Critical Review</w:t>
      </w:r>
      <w:br/>
      <w:hyperlink r:id="rId7" w:history="1">
        <w:r>
          <w:rPr>
            <w:color w:val="2980b9"/>
            <w:u w:val="single"/>
          </w:rPr>
          <w:t xml:space="preserve">https://www.techscience.com/phyton/v88n4/38055</w:t>
        </w:r>
      </w:hyperlink>
    </w:p>
    <w:p>
      <w:pPr>
        <w:pStyle w:val="Heading1"/>
      </w:pPr>
      <w:bookmarkStart w:id="2" w:name="_Toc2"/>
      <w:r>
        <w:t>Article summary:</w:t>
      </w:r>
      <w:bookmarkEnd w:id="2"/>
    </w:p>
    <w:p>
      <w:pPr>
        <w:jc w:val="both"/>
      </w:pPr>
      <w:r>
        <w:rPr/>
        <w:t xml:space="preserve">1. 生物炭是一种可持续的森林土壤管理策略，可以用于恢复退化的森林土地。</w:t>
      </w:r>
    </w:p>
    <w:p>
      <w:pPr>
        <w:jc w:val="both"/>
      </w:pPr>
      <w:r>
        <w:rPr/>
        <w:t xml:space="preserve">2. 生物炭的生产过程、原料和性质对其效果有影响，需要进行长期的田间试验以更好地了解其作用。</w:t>
      </w:r>
    </w:p>
    <w:p>
      <w:pPr>
        <w:jc w:val="both"/>
      </w:pPr>
      <w:r>
        <w:rPr/>
        <w:t xml:space="preserve">3. 为了获得最大的效益，需要仔细规划将生物炭与土壤特性相匹配。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该文章是一篇关于生物炭在森林土壤中的生产和应用的综述。文章提到了生物炭作为一种土壤改良剂，可以帮助恢复退化的森林土地。然而，该文章存在以下问题：</w:t>
      </w:r>
    </w:p>
    <w:p>
      <w:pPr>
        <w:jc w:val="both"/>
      </w:pPr>
      <w:r>
        <w:rPr/>
        <w:t xml:space="preserve"/>
      </w:r>
    </w:p>
    <w:p>
      <w:pPr>
        <w:jc w:val="both"/>
      </w:pPr>
      <w:r>
        <w:rPr/>
        <w:t xml:space="preserve">1. 偏见来源：文章没有提及任何可能的负面影响或风险，只强调了生物炭对土壤和植物的积极影响。这可能导致读者对生物炭的实际效果和潜在风险缺乏全面了解。</w:t>
      </w:r>
    </w:p>
    <w:p>
      <w:pPr>
        <w:jc w:val="both"/>
      </w:pPr>
      <w:r>
        <w:rPr/>
        <w:t xml:space="preserve"/>
      </w:r>
    </w:p>
    <w:p>
      <w:pPr>
        <w:jc w:val="both"/>
      </w:pPr>
      <w:r>
        <w:rPr/>
        <w:t xml:space="preserve">2. 片面报道：文章只讨论了生物炭的正面效果，没有探讨其可能存在的负面影响或限制因素。例如，生物炭可能会增加土壤酸度，并且不适合所有类型的土壤和植被。</w:t>
      </w:r>
    </w:p>
    <w:p>
      <w:pPr>
        <w:jc w:val="both"/>
      </w:pPr>
      <w:r>
        <w:rPr/>
        <w:t xml:space="preserve"/>
      </w:r>
    </w:p>
    <w:p>
      <w:pPr>
        <w:jc w:val="both"/>
      </w:pPr>
      <w:r>
        <w:rPr/>
        <w:t xml:space="preserve">3. 缺失考虑点：文章没有考虑到使用大量生物质来制造生物炭可能会对环境产生负面影响。此外，如果过度使用或错误使用，生物炭也可能会导致环境问题。</w:t>
      </w:r>
    </w:p>
    <w:p>
      <w:pPr>
        <w:jc w:val="both"/>
      </w:pPr>
      <w:r>
        <w:rPr/>
        <w:t xml:space="preserve"/>
      </w:r>
    </w:p>
    <w:p>
      <w:pPr>
        <w:jc w:val="both"/>
      </w:pPr>
      <w:r>
        <w:rPr/>
        <w:t xml:space="preserve">4. 主张缺失证据：文章提出了一些主张，但未提供足够的证据来支持这些主张。例如，在讨论生物炭对森林土地恢复方面时，文章没有提供足够的实证数据来支持其主张。</w:t>
      </w:r>
    </w:p>
    <w:p>
      <w:pPr>
        <w:jc w:val="both"/>
      </w:pPr>
      <w:r>
        <w:rPr/>
        <w:t xml:space="preserve"/>
      </w:r>
    </w:p>
    <w:p>
      <w:pPr>
        <w:jc w:val="both"/>
      </w:pPr>
      <w:r>
        <w:rPr/>
        <w:t xml:space="preserve">5. 未探索反驳：文章没有探讨任何可能存在的反驳观点或争议。这可能导致读者对生物炭的效果和风险缺乏全面了解。</w:t>
      </w:r>
    </w:p>
    <w:p>
      <w:pPr>
        <w:jc w:val="both"/>
      </w:pPr>
      <w:r>
        <w:rPr/>
        <w:t xml:space="preserve"/>
      </w:r>
    </w:p>
    <w:p>
      <w:pPr>
        <w:jc w:val="both"/>
      </w:pPr>
      <w:r>
        <w:rPr/>
        <w:t xml:space="preserve">综上所述，该文章存在一些偏见、片面报道、缺失考虑点和主张缺失证据等问题。因此，读者需要谨慎评估该文章中提出的观点，并寻找其他来源以获取更全面和客观的信息。</w:t>
      </w:r>
    </w:p>
    <w:p>
      <w:pPr>
        <w:pStyle w:val="Heading1"/>
      </w:pPr>
      <w:bookmarkStart w:id="5" w:name="_Toc5"/>
      <w:r>
        <w:t>Topics for further research:</w:t>
      </w:r>
      <w:bookmarkEnd w:id="5"/>
    </w:p>
    <w:p>
      <w:pPr>
        <w:spacing w:after="0"/>
        <w:numPr>
          <w:ilvl w:val="0"/>
          <w:numId w:val="2"/>
        </w:numPr>
      </w:pPr>
      <w:r>
        <w:rPr/>
        <w:t xml:space="preserve">Potential negative impacts or risks of biochar in forest soil
</w:t>
      </w:r>
    </w:p>
    <w:p>
      <w:pPr>
        <w:spacing w:after="0"/>
        <w:numPr>
          <w:ilvl w:val="0"/>
          <w:numId w:val="2"/>
        </w:numPr>
      </w:pPr>
      <w:r>
        <w:rPr/>
        <w:t xml:space="preserve">Limitations or negative effects of biochar application
</w:t>
      </w:r>
    </w:p>
    <w:p>
      <w:pPr>
        <w:spacing w:after="0"/>
        <w:numPr>
          <w:ilvl w:val="0"/>
          <w:numId w:val="2"/>
        </w:numPr>
      </w:pPr>
      <w:r>
        <w:rPr/>
        <w:t xml:space="preserve">Environmental impacts of biomass production for biochar
</w:t>
      </w:r>
    </w:p>
    <w:p>
      <w:pPr>
        <w:spacing w:after="0"/>
        <w:numPr>
          <w:ilvl w:val="0"/>
          <w:numId w:val="2"/>
        </w:numPr>
      </w:pPr>
      <w:r>
        <w:rPr/>
        <w:t xml:space="preserve">Evidence supporting claims about biochar's effectiveness in forest land restoration
</w:t>
      </w:r>
    </w:p>
    <w:p>
      <w:pPr>
        <w:spacing w:after="0"/>
        <w:numPr>
          <w:ilvl w:val="0"/>
          <w:numId w:val="2"/>
        </w:numPr>
      </w:pPr>
      <w:r>
        <w:rPr/>
        <w:t xml:space="preserve">Counterarguments or controversies surrounding biochar use
</w:t>
      </w:r>
    </w:p>
    <w:p>
      <w:pPr>
        <w:numPr>
          <w:ilvl w:val="0"/>
          <w:numId w:val="2"/>
        </w:numPr>
      </w:pPr>
      <w:r>
        <w:rPr/>
        <w:t xml:space="preserve">Other soil improvement methods for forest land restoration</w:t>
      </w:r>
    </w:p>
    <w:p>
      <w:pPr>
        <w:pStyle w:val="Heading1"/>
      </w:pPr>
      <w:bookmarkStart w:id="6" w:name="_Toc6"/>
      <w:r>
        <w:t>Report location:</w:t>
      </w:r>
      <w:bookmarkEnd w:id="6"/>
    </w:p>
    <w:p>
      <w:hyperlink r:id="rId8" w:history="1">
        <w:r>
          <w:rPr>
            <w:color w:val="2980b9"/>
            <w:u w:val="single"/>
          </w:rPr>
          <w:t xml:space="preserve">https://www.fullpicture.app/item/8829e2414349c15f4af5298297c25b26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13A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science.com/phyton/v88n4/38055" TargetMode="External"/><Relationship Id="rId8" Type="http://schemas.openxmlformats.org/officeDocument/2006/relationships/hyperlink" Target="https://www.fullpicture.app/item/8829e2414349c15f4af5298297c25b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2024-04-28T03:53:32+02:00</dcterms:created>
  <dcterms:modified xsi:type="dcterms:W3CDTF">2024-04-28T03:53:32+02:00</dcterms:modified>
</cp:coreProperties>
</file>

<file path=docProps/custom.xml><?xml version="1.0" encoding="utf-8"?>
<Properties xmlns="http://schemas.openxmlformats.org/officeDocument/2006/custom-properties" xmlns:vt="http://schemas.openxmlformats.org/officeDocument/2006/docPropsVTypes"/>
</file>