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allosteric transport mechanism for the AcrAB-TolC multidrug efflux pump | eLife</w:t>
      </w:r>
      <w:br/>
      <w:hyperlink r:id="rId7" w:history="1">
        <w:r>
          <w:rPr>
            <w:color w:val="2980b9"/>
            <w:u w:val="single"/>
          </w:rPr>
          <w:t xml:space="preserve">https://elifesciences.org/articles/24905</w:t>
        </w:r>
      </w:hyperlink>
    </w:p>
    <w:p>
      <w:pPr>
        <w:pStyle w:val="Heading1"/>
      </w:pPr>
      <w:bookmarkStart w:id="2" w:name="_Toc2"/>
      <w:r>
        <w:t>Article summary:</w:t>
      </w:r>
      <w:bookmarkEnd w:id="2"/>
    </w:p>
    <w:p>
      <w:pPr>
        <w:jc w:val="both"/>
      </w:pPr>
      <w:r>
        <w:rPr/>
        <w:t xml:space="preserve">1. The AcrAB-TolC multidrug efflux pump in Gram-negative bacteria confers multidrug resistance by transporting antibiotics from the cell through a quaternary structural switch that allosterically couples ligand binding with channel opening.</w:t>
      </w:r>
    </w:p>
    <w:p>
      <w:pPr>
        <w:jc w:val="both"/>
      </w:pPr>
      <w:r>
        <w:rPr/>
        <w:t xml:space="preserve"/>
      </w:r>
    </w:p>
    <w:p>
      <w:pPr>
        <w:jc w:val="both"/>
      </w:pPr>
      <w:r>
        <w:rPr/>
        <w:t xml:space="preserve">2. CryoEM structures of the pump in resting and drug transport states reveal a closed channel in the apo state and an open channel in the transport state, with AcrB cycling through three distinct conformations during drug translocation.</w:t>
      </w:r>
    </w:p>
    <w:p>
      <w:pPr>
        <w:jc w:val="both"/>
      </w:pPr>
      <w:r>
        <w:rPr/>
        <w:t xml:space="preserve"/>
      </w:r>
    </w:p>
    <w:p>
      <w:pPr>
        <w:jc w:val="both"/>
      </w:pPr>
      <w:r>
        <w:rPr/>
        <w:t xml:space="preserve">3. The study provides a dynamic mechanism for the assembly and operation of the AcrAB-TolC pump, shedding light on the molecular basis of drug efflux and antibiotic resistance in bacteria.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"An allosteric transport mechanism for the AcrAB-TolC multidrug efflux pump" published in eLife discusses the structural and functional aspects of the AcrAB-TolC multidrug efflux pump in Gram-negative bacteria. The study uses cryoEM structures to investigate the assembly and operation of this pump in both resting and drug transport states.</w:t>
      </w:r>
    </w:p>
    <w:p>
      <w:pPr>
        <w:jc w:val="both"/>
      </w:pPr>
      <w:r>
        <w:rPr/>
        <w:t xml:space="preserve"/>
      </w:r>
    </w:p>
    <w:p>
      <w:pPr>
        <w:jc w:val="both"/>
      </w:pPr>
      <w:r>
        <w:rPr/>
        <w:t xml:space="preserve">One potential bias in the article is the focus on the structural details of the pump without providing a broader context of antibiotic resistance mechanisms in bacteria. While understanding the molecular mechanisms of efflux pumps is important, it would be beneficial to also discuss other resistance mechanisms such as enzymatic degradation or target modification.</w:t>
      </w:r>
    </w:p>
    <w:p>
      <w:pPr>
        <w:jc w:val="both"/>
      </w:pPr>
      <w:r>
        <w:rPr/>
        <w:t xml:space="preserve"/>
      </w:r>
    </w:p>
    <w:p>
      <w:pPr>
        <w:jc w:val="both"/>
      </w:pPr>
      <w:r>
        <w:rPr/>
        <w:t xml:space="preserve">The article mentions previous studies on the AcrAB-TolC pump but does not provide a comprehensive review of existing literature on efflux pumps in general. This could lead to a lack of perspective on how this specific pump fits into the larger landscape of bacterial resistance mechanisms.</w:t>
      </w:r>
    </w:p>
    <w:p>
      <w:pPr>
        <w:jc w:val="both"/>
      </w:pPr>
      <w:r>
        <w:rPr/>
        <w:t xml:space="preserve"/>
      </w:r>
    </w:p>
    <w:p>
      <w:pPr>
        <w:jc w:val="both"/>
      </w:pPr>
      <w:r>
        <w:rPr/>
        <w:t xml:space="preserve">Additionally, while the study provides detailed structural information on the pump, it does not explore potential limitations or challenges in targeting efflux pumps as a strategy to combat antibiotic resistance. It would be valuable to discuss how bacteria can develop resistance mechanisms against efflux pump inhibitors or how targeting these pumps may lead to collateral damage to beneficial microbiota.</w:t>
      </w:r>
    </w:p>
    <w:p>
      <w:pPr>
        <w:jc w:val="both"/>
      </w:pPr>
      <w:r>
        <w:rPr/>
        <w:t xml:space="preserve"/>
      </w:r>
    </w:p>
    <w:p>
      <w:pPr>
        <w:jc w:val="both"/>
      </w:pPr>
      <w:r>
        <w:rPr/>
        <w:t xml:space="preserve">The article also lacks discussion on potential clinical implications of targeting efflux pumps for antibiotic therapy. Understanding how inhibiting these pumps could enhance antibiotic efficacy or overcome resistance would provide important insights for future drug development strategies.</w:t>
      </w:r>
    </w:p>
    <w:p>
      <w:pPr>
        <w:jc w:val="both"/>
      </w:pPr>
      <w:r>
        <w:rPr/>
        <w:t xml:space="preserve"/>
      </w:r>
    </w:p>
    <w:p>
      <w:pPr>
        <w:jc w:val="both"/>
      </w:pPr>
      <w:r>
        <w:rPr/>
        <w:t xml:space="preserve">Overall, while the study provides valuable structural insights into the AcrAB-TolC multidrug efflux pump, there are opportunities for a more balanced discussion that considers broader implications, limitations, and future directions for research in this field.</w:t>
      </w:r>
    </w:p>
    <w:p>
      <w:pPr>
        <w:pStyle w:val="Heading1"/>
      </w:pPr>
      <w:bookmarkStart w:id="5" w:name="_Toc5"/>
      <w:r>
        <w:t>Topics for further research:</w:t>
      </w:r>
      <w:bookmarkEnd w:id="5"/>
    </w:p>
    <w:p>
      <w:pPr>
        <w:spacing w:after="0"/>
        <w:numPr>
          <w:ilvl w:val="0"/>
          <w:numId w:val="2"/>
        </w:numPr>
      </w:pPr>
      <w:r>
        <w:rPr/>
        <w:t xml:space="preserve">Mechanisms of antibiotic resistance in bacteria beyond efflux pumps
</w:t>
      </w:r>
    </w:p>
    <w:p>
      <w:pPr>
        <w:spacing w:after="0"/>
        <w:numPr>
          <w:ilvl w:val="0"/>
          <w:numId w:val="2"/>
        </w:numPr>
      </w:pPr>
      <w:r>
        <w:rPr/>
        <w:t xml:space="preserve">Overview of efflux pumps in bacterial resistance mechanisms
</w:t>
      </w:r>
    </w:p>
    <w:p>
      <w:pPr>
        <w:spacing w:after="0"/>
        <w:numPr>
          <w:ilvl w:val="0"/>
          <w:numId w:val="2"/>
        </w:numPr>
      </w:pPr>
      <w:r>
        <w:rPr/>
        <w:t xml:space="preserve">Challenges in targeting efflux pumps for antibiotic therapy
</w:t>
      </w:r>
    </w:p>
    <w:p>
      <w:pPr>
        <w:spacing w:after="0"/>
        <w:numPr>
          <w:ilvl w:val="0"/>
          <w:numId w:val="2"/>
        </w:numPr>
      </w:pPr>
      <w:r>
        <w:rPr/>
        <w:t xml:space="preserve">Development of resistance against efflux pump inhibitors
</w:t>
      </w:r>
    </w:p>
    <w:p>
      <w:pPr>
        <w:spacing w:after="0"/>
        <w:numPr>
          <w:ilvl w:val="0"/>
          <w:numId w:val="2"/>
        </w:numPr>
      </w:pPr>
      <w:r>
        <w:rPr/>
        <w:t xml:space="preserve">Impact of efflux pump inhibition on beneficial microbiota
</w:t>
      </w:r>
    </w:p>
    <w:p>
      <w:pPr>
        <w:numPr>
          <w:ilvl w:val="0"/>
          <w:numId w:val="2"/>
        </w:numPr>
      </w:pPr>
      <w:r>
        <w:rPr/>
        <w:t xml:space="preserve">Clinical implications of targeting efflux pumps for antibiotic treatment</w:t>
      </w:r>
    </w:p>
    <w:p>
      <w:pPr>
        <w:pStyle w:val="Heading1"/>
      </w:pPr>
      <w:bookmarkStart w:id="6" w:name="_Toc6"/>
      <w:r>
        <w:t>Report location:</w:t>
      </w:r>
      <w:bookmarkEnd w:id="6"/>
    </w:p>
    <w:p>
      <w:hyperlink r:id="rId8" w:history="1">
        <w:r>
          <w:rPr>
            <w:color w:val="2980b9"/>
            <w:u w:val="single"/>
          </w:rPr>
          <w:t xml:space="preserve">https://www.fullpicture.app/item/857af3652e90cfa1126a95f0d9d349a2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9D8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fesciences.org/articles/24905" TargetMode="External"/><Relationship Id="rId8" Type="http://schemas.openxmlformats.org/officeDocument/2006/relationships/hyperlink" Target="https://www.fullpicture.app/item/857af3652e90cfa1126a95f0d9d34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2024-07-01T08:03:50+02:00</dcterms:created>
  <dcterms:modified xsi:type="dcterms:W3CDTF">2024-07-01T08:03:50+02:00</dcterms:modified>
</cp:coreProperties>
</file>

<file path=docProps/custom.xml><?xml version="1.0" encoding="utf-8"?>
<Properties xmlns="http://schemas.openxmlformats.org/officeDocument/2006/custom-properties" xmlns:vt="http://schemas.openxmlformats.org/officeDocument/2006/docPropsVTypes"/>
</file>