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Davis v Minister for Immigration, Citizenship, Migrant Services and Multicultural Affairs [2023] HCA 10 - BarNet Jade - BarNet Jade</w:t>
      </w:r>
      <w:br/>
      <w:hyperlink r:id="rId7" w:history="1">
        <w:r>
          <w:rPr>
            <w:color w:val="2980b9"/>
            <w:u w:val="single"/>
          </w:rPr>
          <w:t xml:space="preserve">https://jade.io/article/974225</w:t>
        </w:r>
      </w:hyperlink>
    </w:p>
    <w:p>
      <w:pPr>
        <w:pStyle w:val="Heading1"/>
      </w:pPr>
      <w:bookmarkStart w:id="2" w:name="_Toc2"/>
      <w:r>
        <w:t>Article summary:</w:t>
      </w:r>
      <w:bookmarkEnd w:id="2"/>
    </w:p>
    <w:p>
      <w:pPr>
        <w:jc w:val="both"/>
      </w:pPr>
      <w:r>
        <w:rPr/>
        <w:t xml:space="preserve">1. The High Court of Australia granted an appeal in the case of Davis v Minister for Immigration, Citizenship, Migrant Services and Multicultural Affairs and DCM20 v Secretary of Department of Home Affairs.</w:t>
      </w:r>
    </w:p>
    <w:p>
      <w:pPr>
        <w:jc w:val="both"/>
      </w:pPr>
      <w:r>
        <w:rPr/>
        <w:t xml:space="preserve">2. The case involved departmental decisions not to refer requests to exercise the power conferred by s 351 of the Migration Act 1958 to a Minister in any case which departmental officers assessed not to "have unique or exceptional circumstances".</w:t>
      </w:r>
    </w:p>
    <w:p>
      <w:pPr>
        <w:jc w:val="both"/>
      </w:pPr>
      <w:r>
        <w:rPr/>
        <w:t xml:space="preserve">3. The Full Court held that the aspect of the executive power of the Commonwealth purportedly exercised in making the departmental decisions is conditioned by a common law requirement for reasonableness in its exercise.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summary of the High Court of Australia's decision in Davis v Minister for Immigration, Citizenship, Migrant Services and Multicultural Affairs [2023] HCA 10 and DCM20 v Secretary of Department of Home Affairs. The case concerned the executive power of the Commonwealth in relation to requests made to the Minister for Immigration to exercise their power under section 351 of the Migration Act 1958 (Cth) to substitute a more favourable decision for a decision made by the Administrative Appeals Tribunal.</w:t>
      </w:r>
    </w:p>
    <w:p>
      <w:pPr>
        <w:jc w:val="both"/>
      </w:pPr>
      <w:r>
        <w:rPr/>
        <w:t xml:space="preserve"/>
      </w:r>
    </w:p>
    <w:p>
      <w:pPr>
        <w:jc w:val="both"/>
      </w:pPr>
      <w:r>
        <w:rPr/>
        <w:t xml:space="preserve">The article presents a neutral tone and provides an overview of the court's findings without expressing any biases or opinions. However, it does not provide any analysis or commentary on the implications of the court's decision or its potential impact on immigration law in Australia.</w:t>
      </w:r>
    </w:p>
    <w:p>
      <w:pPr>
        <w:jc w:val="both"/>
      </w:pPr>
      <w:r>
        <w:rPr/>
        <w:t xml:space="preserve"/>
      </w:r>
    </w:p>
    <w:p>
      <w:pPr>
        <w:jc w:val="both"/>
      </w:pPr>
      <w:r>
        <w:rPr/>
        <w:t xml:space="preserve">One potential bias in the article is its focus solely on the legal aspects of the case without considering its broader social and political context. The case involves individuals who have been denied visas and are seeking judicial review of decisions made by departmental officers. However, there is no discussion in the article about how these decisions may affect individuals' lives or how they fit into broader debates around immigration policy in Australia.</w:t>
      </w:r>
    </w:p>
    <w:p>
      <w:pPr>
        <w:jc w:val="both"/>
      </w:pPr>
      <w:r>
        <w:rPr/>
        <w:t xml:space="preserve"/>
      </w:r>
    </w:p>
    <w:p>
      <w:pPr>
        <w:jc w:val="both"/>
      </w:pPr>
      <w:r>
        <w:rPr/>
        <w:t xml:space="preserve">Another potential bias is that the article assumes a level of legal knowledge on behalf of its readership. It uses technical legal language and refers to specific sections of legislation without providing any explanation or context for those unfamiliar with Australian immigration law.</w:t>
      </w:r>
    </w:p>
    <w:p>
      <w:pPr>
        <w:jc w:val="both"/>
      </w:pPr>
      <w:r>
        <w:rPr/>
        <w:t xml:space="preserve"/>
      </w:r>
    </w:p>
    <w:p>
      <w:pPr>
        <w:jc w:val="both"/>
      </w:pPr>
      <w:r>
        <w:rPr/>
        <w:t xml:space="preserve">Overall, while the article provides a useful summary of the court's decision, it lacks critical analysis and fails to consider broader social and political implications.</w:t>
      </w:r>
    </w:p>
    <w:p>
      <w:pPr>
        <w:pStyle w:val="Heading1"/>
      </w:pPr>
      <w:bookmarkStart w:id="5" w:name="_Toc5"/>
      <w:r>
        <w:t>Topics for further research:</w:t>
      </w:r>
      <w:bookmarkEnd w:id="5"/>
    </w:p>
    <w:p>
      <w:pPr>
        <w:spacing w:after="0"/>
        <w:numPr>
          <w:ilvl w:val="0"/>
          <w:numId w:val="2"/>
        </w:numPr>
      </w:pPr>
      <w:r>
        <w:rPr/>
        <w:t xml:space="preserve">Implications of Davis v Minister for Immigration on Australian immigration policy
</w:t>
      </w:r>
    </w:p>
    <w:p>
      <w:pPr>
        <w:spacing w:after="0"/>
        <w:numPr>
          <w:ilvl w:val="0"/>
          <w:numId w:val="2"/>
        </w:numPr>
      </w:pPr>
      <w:r>
        <w:rPr/>
        <w:t xml:space="preserve">Social impact of visa denial decisions in Australia
</w:t>
      </w:r>
    </w:p>
    <w:p>
      <w:pPr>
        <w:spacing w:after="0"/>
        <w:numPr>
          <w:ilvl w:val="0"/>
          <w:numId w:val="2"/>
        </w:numPr>
      </w:pPr>
      <w:r>
        <w:rPr/>
        <w:t xml:space="preserve">Political context of immigration law in Australia
</w:t>
      </w:r>
    </w:p>
    <w:p>
      <w:pPr>
        <w:spacing w:after="0"/>
        <w:numPr>
          <w:ilvl w:val="0"/>
          <w:numId w:val="2"/>
        </w:numPr>
      </w:pPr>
      <w:r>
        <w:rPr/>
        <w:t xml:space="preserve">Critiques of the executive power of the Commonwealth in immigration decisions
</w:t>
      </w:r>
    </w:p>
    <w:p>
      <w:pPr>
        <w:spacing w:after="0"/>
        <w:numPr>
          <w:ilvl w:val="0"/>
          <w:numId w:val="2"/>
        </w:numPr>
      </w:pPr>
      <w:r>
        <w:rPr/>
        <w:t xml:space="preserve">Overview of section 351 of the Migration Act 1958 (Cth)
</w:t>
      </w:r>
    </w:p>
    <w:p>
      <w:pPr>
        <w:numPr>
          <w:ilvl w:val="0"/>
          <w:numId w:val="2"/>
        </w:numPr>
      </w:pPr>
      <w:r>
        <w:rPr/>
        <w:t xml:space="preserve">Analysis of judicial review processes in Australian immigration law</w:t>
      </w:r>
    </w:p>
    <w:p>
      <w:pPr>
        <w:pStyle w:val="Heading1"/>
      </w:pPr>
      <w:bookmarkStart w:id="6" w:name="_Toc6"/>
      <w:r>
        <w:t>Report location:</w:t>
      </w:r>
      <w:bookmarkEnd w:id="6"/>
    </w:p>
    <w:p>
      <w:hyperlink r:id="rId8" w:history="1">
        <w:r>
          <w:rPr>
            <w:color w:val="2980b9"/>
            <w:u w:val="single"/>
          </w:rPr>
          <w:t xml:space="preserve">https://www.fullpicture.app/item/841517f6a1ee000df1417cda57db0367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C78D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de.io/article/974225" TargetMode="External"/><Relationship Id="rId8" Type="http://schemas.openxmlformats.org/officeDocument/2006/relationships/hyperlink" Target="https://www.fullpicture.app/item/841517f6a1ee000df1417cda57db03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2024-01-11T05:52:09+01:00</dcterms:created>
  <dcterms:modified xsi:type="dcterms:W3CDTF">2024-01-11T05:52:09+01:00</dcterms:modified>
</cp:coreProperties>
</file>

<file path=docProps/custom.xml><?xml version="1.0" encoding="utf-8"?>
<Properties xmlns="http://schemas.openxmlformats.org/officeDocument/2006/custom-properties" xmlns:vt="http://schemas.openxmlformats.org/officeDocument/2006/docPropsVTypes"/>
</file>