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Repair of infected bone defect with Clindamycin-Tetrahedral DNA nanostructure Complex-loaded 3D bioprinted hybrid scaffold - ScienceDirect</w:t>
      </w:r>
      <w:br/>
      <w:hyperlink r:id="rId7" w:history="1">
        <w:r>
          <w:rPr>
            <w:color w:val="2980b9"/>
            <w:u w:val="single"/>
          </w:rPr>
          <w:t xml:space="preserve">https://www.sciencedirect.com/science/article/pii/S138589472200362X?via%3Dihub=</w:t>
        </w:r>
      </w:hyperlink>
    </w:p>
    <w:p>
      <w:pPr>
        <w:pStyle w:val="Heading1"/>
      </w:pPr>
      <w:bookmarkStart w:id="2" w:name="_Toc2"/>
      <w:r>
        <w:t>Article summary:</w:t>
      </w:r>
      <w:bookmarkEnd w:id="2"/>
    </w:p>
    <w:p>
      <w:pPr>
        <w:jc w:val="both"/>
      </w:pPr>
      <w:r>
        <w:rPr/>
        <w:t xml:space="preserve">1. Infected bone defects are a common clinical problem that negatively impacts bone repair and may result in the development of antibiotic resistance due to the long-term use of antibiotics.</w:t>
      </w:r>
    </w:p>
    <w:p>
      <w:pPr>
        <w:jc w:val="both"/>
      </w:pPr>
      <w:r>
        <w:rPr/>
        <w:t xml:space="preserve">2. A 3D hybrid scaffold loaded with tetrahedral DNA nanostructure (TDN)-clindamycin complexes was constructed using bioprinting technology, which possessed excellent biocompatibility, outstanding osteogenic and antimicrobial activity, and significantly improved the repair of infected bone defects in a rat model.</w:t>
      </w:r>
    </w:p>
    <w:p>
      <w:pPr>
        <w:jc w:val="both"/>
      </w:pPr>
      <w:r>
        <w:rPr/>
        <w:t xml:space="preserve">3. The TDN-CLI-loaded hybrid scaffold developed in the current study has broad application prospects for treating infected bone defects.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作为一篇科学研究论文，该文章在介绍了治疗感染性骨缺损的新方法后，提供了实验结果和结论。然而，在阅读文章时，我们也可以发现一些潜在的偏见和不足之处。</w:t>
      </w:r>
    </w:p>
    <w:p>
      <w:pPr>
        <w:jc w:val="both"/>
      </w:pPr>
      <w:r>
        <w:rPr/>
        <w:t xml:space="preserve"/>
      </w:r>
    </w:p>
    <w:p>
      <w:pPr>
        <w:jc w:val="both"/>
      </w:pPr>
      <w:r>
        <w:rPr/>
        <w:t xml:space="preserve">首先，文章没有充分探讨使用抗生素治疗感染性骨缺损可能导致的抗生素耐药性问题。虽然作者提到长期使用抗生素可能会导致耐药性，但并未深入探讨这个问题，并没有提出解决方案。这是一个非常重要的问题，因为抗生素耐药性已经成为全球公共卫生领域的一个严重问题。</w:t>
      </w:r>
    </w:p>
    <w:p>
      <w:pPr>
        <w:jc w:val="both"/>
      </w:pPr>
      <w:r>
        <w:rPr/>
        <w:t xml:space="preserve"/>
      </w:r>
    </w:p>
    <w:p>
      <w:pPr>
        <w:jc w:val="both"/>
      </w:pPr>
      <w:r>
        <w:rPr/>
        <w:t xml:space="preserve">其次，文章中只涉及了对小鼠模型进行的实验，并未涉及人体试验。因此，该方法是否适用于人类仍需进一步验证。此外，在动物实验中获得的结果并不能完全推广到人类身上。</w:t>
      </w:r>
    </w:p>
    <w:p>
      <w:pPr>
        <w:jc w:val="both"/>
      </w:pPr>
      <w:r>
        <w:rPr/>
        <w:t xml:space="preserve"/>
      </w:r>
    </w:p>
    <w:p>
      <w:pPr>
        <w:jc w:val="both"/>
      </w:pPr>
      <w:r>
        <w:rPr/>
        <w:t xml:space="preserve">另外，在介绍新方法时，文章没有充分考虑其他已有的治疗感染性骨缺损方法，并未与它们进行比较。这使得读者无法确定该方法是否真正优于其他方法。</w:t>
      </w:r>
    </w:p>
    <w:p>
      <w:pPr>
        <w:jc w:val="both"/>
      </w:pPr>
      <w:r>
        <w:rPr/>
        <w:t xml:space="preserve"/>
      </w:r>
    </w:p>
    <w:p>
      <w:pPr>
        <w:jc w:val="both"/>
      </w:pPr>
      <w:r>
        <w:rPr/>
        <w:t xml:space="preserve">最后，在描述实验结果时，文章过于强调该方法的优点，而忽略了可能存在的风险和缺点。这种宣传性的描述可能会误导读者，使他们对该方法的效果过于乐观。</w:t>
      </w:r>
    </w:p>
    <w:p>
      <w:pPr>
        <w:jc w:val="both"/>
      </w:pPr>
      <w:r>
        <w:rPr/>
        <w:t xml:space="preserve"/>
      </w:r>
    </w:p>
    <w:p>
      <w:pPr>
        <w:jc w:val="both"/>
      </w:pPr>
      <w:r>
        <w:rPr/>
        <w:t xml:space="preserve">综上所述，虽然该文章提出了一种新的治疗感染性骨缺损的方法，并取得了一定的实验结果，但仍存在一些潜在偏见和不足之处。因此，在阅读该文章时，读者应该保持批判性思维，并结合其他相关研究进行综合考虑。</w:t>
      </w:r>
    </w:p>
    <w:p>
      <w:pPr>
        <w:pStyle w:val="Heading1"/>
      </w:pPr>
      <w:bookmarkStart w:id="5" w:name="_Toc5"/>
      <w:r>
        <w:t>Topics for further research:</w:t>
      </w:r>
      <w:bookmarkEnd w:id="5"/>
    </w:p>
    <w:p>
      <w:pPr>
        <w:spacing w:after="0"/>
        <w:numPr>
          <w:ilvl w:val="0"/>
          <w:numId w:val="2"/>
        </w:numPr>
      </w:pPr>
      <w:r>
        <w:rPr/>
        <w:t xml:space="preserve">Antibiotic resistance
</w:t>
      </w:r>
    </w:p>
    <w:p>
      <w:pPr>
        <w:spacing w:after="0"/>
        <w:numPr>
          <w:ilvl w:val="0"/>
          <w:numId w:val="2"/>
        </w:numPr>
      </w:pPr>
      <w:r>
        <w:rPr/>
        <w:t xml:space="preserve">Human trials
</w:t>
      </w:r>
    </w:p>
    <w:p>
      <w:pPr>
        <w:spacing w:after="0"/>
        <w:numPr>
          <w:ilvl w:val="0"/>
          <w:numId w:val="2"/>
        </w:numPr>
      </w:pPr>
      <w:r>
        <w:rPr/>
        <w:t xml:space="preserve">Comparison with existing methods
</w:t>
      </w:r>
    </w:p>
    <w:p>
      <w:pPr>
        <w:spacing w:after="0"/>
        <w:numPr>
          <w:ilvl w:val="0"/>
          <w:numId w:val="2"/>
        </w:numPr>
      </w:pPr>
      <w:r>
        <w:rPr/>
        <w:t xml:space="preserve">Potential risks and drawbacks
</w:t>
      </w:r>
    </w:p>
    <w:p>
      <w:pPr>
        <w:spacing w:after="0"/>
        <w:numPr>
          <w:ilvl w:val="0"/>
          <w:numId w:val="2"/>
        </w:numPr>
      </w:pPr>
      <w:r>
        <w:rPr/>
        <w:t xml:space="preserve">Critical thinking
</w:t>
      </w:r>
    </w:p>
    <w:p>
      <w:pPr>
        <w:numPr>
          <w:ilvl w:val="0"/>
          <w:numId w:val="2"/>
        </w:numPr>
      </w:pPr>
      <w:r>
        <w:rPr/>
        <w:t xml:space="preserve">Related research</w:t>
      </w:r>
    </w:p>
    <w:p>
      <w:pPr>
        <w:pStyle w:val="Heading1"/>
      </w:pPr>
      <w:bookmarkStart w:id="6" w:name="_Toc6"/>
      <w:r>
        <w:t>Report location:</w:t>
      </w:r>
      <w:bookmarkEnd w:id="6"/>
    </w:p>
    <w:p>
      <w:hyperlink r:id="rId8" w:history="1">
        <w:r>
          <w:rPr>
            <w:color w:val="2980b9"/>
            <w:u w:val="single"/>
          </w:rPr>
          <w:t xml:space="preserve">https://www.fullpicture.app/item/838ae217f66ec7822a671b2b4691ce15</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7DC7B0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138589472200362X?via%3Dihub=" TargetMode="External"/><Relationship Id="rId8" Type="http://schemas.openxmlformats.org/officeDocument/2006/relationships/hyperlink" Target="https://www.fullpicture.app/item/838ae217f66ec7822a671b2b4691ce1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2024-01-10T03:19:10+01:00</dcterms:created>
  <dcterms:modified xsi:type="dcterms:W3CDTF">2024-01-10T03:19:10+01:00</dcterms:modified>
</cp:coreProperties>
</file>

<file path=docProps/custom.xml><?xml version="1.0" encoding="utf-8"?>
<Properties xmlns="http://schemas.openxmlformats.org/officeDocument/2006/custom-properties" xmlns:vt="http://schemas.openxmlformats.org/officeDocument/2006/docPropsVTypes"/>
</file>