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Ley 2220 de 2022 - Gestor Normativo - Función Pública</w:t>
      </w:r>
      <w:br/>
      <w:hyperlink r:id="rId7" w:history="1">
        <w:r>
          <w:rPr>
            <w:color w:val="2980b9"/>
            <w:u w:val="single"/>
          </w:rPr>
          <w:t xml:space="preserve">https://funcionpublica.gov.co/eva/gestornormativo/norma.php?i=188766</w:t>
        </w:r>
      </w:hyperlink>
    </w:p>
    <w:p>
      <w:pPr>
        <w:pStyle w:val="Heading1"/>
      </w:pPr>
      <w:bookmarkStart w:id="2" w:name="_Toc2"/>
      <w:r>
        <w:t>Article summary:</w:t>
      </w:r>
      <w:bookmarkEnd w:id="2"/>
    </w:p>
    <w:p>
      <w:pPr>
        <w:jc w:val="both"/>
      </w:pPr>
      <w:r>
        <w:rPr/>
        <w:t xml:space="preserve">1. La Ley 2220 de 2022 establece el Estatuto de Conciliación y crea el Sistema Nacional de Conciliación en Colombia.</w:t>
      </w:r>
    </w:p>
    <w:p>
      <w:pPr>
        <w:jc w:val="both"/>
      </w:pPr>
      <w:r>
        <w:rPr/>
        <w:t xml:space="preserve">2. La conciliación es un mecanismo de resolución de conflictos que busca facilitar el acceso a la justicia, generar condiciones para el diálogo y la convivencia pacífica, y servir como instrumento para la construcción de paz y tejido social.</w:t>
      </w:r>
    </w:p>
    <w:p>
      <w:pPr>
        <w:jc w:val="both"/>
      </w:pPr>
      <w:r>
        <w:rPr/>
        <w:t xml:space="preserve">3. La conciliación se guiará por principios como la autocomposición, garantía de acceso a la justicia, celeridad, confidencialidad, informalidad, economía, independencia del conciliador, seguridad jurídica, neutralidad e imparcialidad y presunción de buena fe. Además, se regula la conciliación por medios virtuales.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presenta la Ley 2220 de 2022, que tiene como objetivo expedir el Estatuto de Conciliación y crear el Sistema Nacional de Conciliación en Colombia. El texto se enfoca en definir la conciliación como un mecanismo de resolución de conflictos y establece los principios que deben guiar su aplicación.</w:t>
      </w:r>
    </w:p>
    <w:p>
      <w:pPr>
        <w:jc w:val="both"/>
      </w:pPr>
      <w:r>
        <w:rPr/>
        <w:t xml:space="preserve"/>
      </w:r>
    </w:p>
    <w:p>
      <w:pPr>
        <w:jc w:val="both"/>
      </w:pPr>
      <w:r>
        <w:rPr/>
        <w:t xml:space="preserve">En general, el artículo parece ser informativo y no presenta sesgos evidentes. Sin embargo, es importante tener en cuenta que el Departamento Administrativo de la Función Pública advierte que no se hace responsable de la vigencia de la norma, lo que sugiere que podría haber cambios o actualizaciones posteriores a su publicación.</w:t>
      </w:r>
    </w:p>
    <w:p>
      <w:pPr>
        <w:jc w:val="both"/>
      </w:pPr>
      <w:r>
        <w:rPr/>
        <w:t xml:space="preserve"/>
      </w:r>
    </w:p>
    <w:p>
      <w:pPr>
        <w:jc w:val="both"/>
      </w:pPr>
      <w:r>
        <w:rPr/>
        <w:t xml:space="preserve">En cuanto al contenido del artículo, se destacan los principios que rigen la conciliación, entre ellos: autocomposición, garantía de acceso a la justicia, celeridad, confidencialidad, informalidad, economía, transitoriedad de la función del conciliador particular, independencia del conciliador, seguridad jurídica, neutralidad e imparcialidad y presunción de buena fe.</w:t>
      </w:r>
    </w:p>
    <w:p>
      <w:pPr>
        <w:jc w:val="both"/>
      </w:pPr>
      <w:r>
        <w:rPr/>
        <w:t xml:space="preserve"/>
      </w:r>
    </w:p>
    <w:p>
      <w:pPr>
        <w:jc w:val="both"/>
      </w:pPr>
      <w:r>
        <w:rPr/>
        <w:t xml:space="preserve">Si bien estos principios parecen adecuados para guiar la aplicación de la conciliación como mecanismo alternativo para resolver conflictos en Colombia, es importante señalar que algunos aspectos podrían requerir mayor claridad o profundización. Por ejemplo, aunque se menciona que se garantizará el acceso a la justicia sin distinción alguna y se prestará especial atención a las poblaciones vulnerables y rurales, no queda claro cómo se llevará a cabo esta garantía ni qué medidas específicas se tomarán para asegurarla.</w:t>
      </w:r>
    </w:p>
    <w:p>
      <w:pPr>
        <w:jc w:val="both"/>
      </w:pPr>
      <w:r>
        <w:rPr/>
        <w:t xml:space="preserve"/>
      </w:r>
    </w:p>
    <w:p>
      <w:pPr>
        <w:jc w:val="both"/>
      </w:pPr>
      <w:r>
        <w:rPr/>
        <w:t xml:space="preserve">Asimismo, aunque se menciona que habrá diferentes modelos para implementar el instrumento según los contextos sociales y culturales donde se aplique y se podrán constituir centros especializados para atender grupos vulnerables específicos; no queda claro cómo funcionarán estos centros ni cuál será su alcance geográfico.</w:t>
      </w:r>
    </w:p>
    <w:p>
      <w:pPr>
        <w:jc w:val="both"/>
      </w:pPr>
      <w:r>
        <w:rPr/>
        <w:t xml:space="preserve"/>
      </w:r>
    </w:p>
    <w:p>
      <w:pPr>
        <w:jc w:val="both"/>
      </w:pPr>
      <w:r>
        <w:rPr/>
        <w:t xml:space="preserve">En conclusión, aunque el artículo presenta información útil sobre los principios que rigen la conciliación en Colombia según lo establecido por la Ley 2220 de 2022; algunos aspectos podrían requerir mayor claridad o profundización para entender plenamente cómo funcionará este mecanismo alternativo para resolver conflictos en el país.</w:t>
      </w:r>
    </w:p>
    <w:p>
      <w:pPr>
        <w:pStyle w:val="Heading1"/>
      </w:pPr>
      <w:bookmarkStart w:id="5" w:name="_Toc5"/>
      <w:r>
        <w:t>Topics for further research:</w:t>
      </w:r>
      <w:bookmarkEnd w:id="5"/>
    </w:p>
    <w:p>
      <w:pPr>
        <w:spacing w:after="0"/>
        <w:numPr>
          <w:ilvl w:val="0"/>
          <w:numId w:val="2"/>
        </w:numPr>
      </w:pPr>
      <w:r>
        <w:rPr/>
        <w:t xml:space="preserve">Detalles sobre la garantía de acceso a la justicia en la Ley 2220 de 2022 en Colombia
</w:t>
      </w:r>
    </w:p>
    <w:p>
      <w:pPr>
        <w:spacing w:after="0"/>
        <w:numPr>
          <w:ilvl w:val="0"/>
          <w:numId w:val="2"/>
        </w:numPr>
      </w:pPr>
      <w:r>
        <w:rPr/>
        <w:t xml:space="preserve">Medidas específicas para proteger a poblaciones vulnerables en la conciliación en Colombia
</w:t>
      </w:r>
    </w:p>
    <w:p>
      <w:pPr>
        <w:spacing w:after="0"/>
        <w:numPr>
          <w:ilvl w:val="0"/>
          <w:numId w:val="2"/>
        </w:numPr>
      </w:pPr>
      <w:r>
        <w:rPr/>
        <w:t xml:space="preserve">Funcionamiento de los centros especializados para atender grupos vulnerables en la conciliación en Colombia
</w:t>
      </w:r>
    </w:p>
    <w:p>
      <w:pPr>
        <w:spacing w:after="0"/>
        <w:numPr>
          <w:ilvl w:val="0"/>
          <w:numId w:val="2"/>
        </w:numPr>
      </w:pPr>
      <w:r>
        <w:rPr/>
        <w:t xml:space="preserve">Alcance geográfico de los centros especializados para atender grupos vulnerables en la conciliación en Colombia
</w:t>
      </w:r>
    </w:p>
    <w:p>
      <w:pPr>
        <w:spacing w:after="0"/>
        <w:numPr>
          <w:ilvl w:val="0"/>
          <w:numId w:val="2"/>
        </w:numPr>
      </w:pPr>
      <w:r>
        <w:rPr/>
        <w:t xml:space="preserve">Implementación de diferentes modelos de conciliación según los contextos sociales y culturales en Colombia
</w:t>
      </w:r>
    </w:p>
    <w:p>
      <w:pPr>
        <w:numPr>
          <w:ilvl w:val="0"/>
          <w:numId w:val="2"/>
        </w:numPr>
      </w:pPr>
      <w:r>
        <w:rPr/>
        <w:t xml:space="preserve">Efectividad de la conciliación como mecanismo alternativo para resolver conflictos en Colombia</w:t>
      </w:r>
    </w:p>
    <w:p>
      <w:pPr>
        <w:pStyle w:val="Heading1"/>
      </w:pPr>
      <w:bookmarkStart w:id="6" w:name="_Toc6"/>
      <w:r>
        <w:t>Report location:</w:t>
      </w:r>
      <w:bookmarkEnd w:id="6"/>
    </w:p>
    <w:p>
      <w:hyperlink r:id="rId8" w:history="1">
        <w:r>
          <w:rPr>
            <w:color w:val="2980b9"/>
            <w:u w:val="single"/>
          </w:rPr>
          <w:t xml:space="preserve">https://www.fullpicture.app/item/830522b4542e5603550ec7e34bf8a275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303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cionpublica.gov.co/eva/gestornormativo/norma.php?i=188766" TargetMode="External"/><Relationship Id="rId8" Type="http://schemas.openxmlformats.org/officeDocument/2006/relationships/hyperlink" Target="https://www.fullpicture.app/item/830522b4542e5603550ec7e34bf8a2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2023-12-26T15:38:18+01:00</dcterms:created>
  <dcterms:modified xsi:type="dcterms:W3CDTF">2023-12-26T15:38:18+01:00</dcterms:modified>
</cp:coreProperties>
</file>

<file path=docProps/custom.xml><?xml version="1.0" encoding="utf-8"?>
<Properties xmlns="http://schemas.openxmlformats.org/officeDocument/2006/custom-properties" xmlns:vt="http://schemas.openxmlformats.org/officeDocument/2006/docPropsVTypes"/>
</file>