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3D printing of lithium osteogenic bioactive composite scaffold for enhanced bone regeneration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https://www.sciencedirect.com/science/article/pii/S1359836823001440?via%3Dihub=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Bone defects are a significant challenge in clinical orthopedics, and current treatment options such as bone transplantations and metal grafts have limitations in meeting the needs of patients.</w:t>
      </w:r>
    </w:p>
    <w:p>
      <w:pPr>
        <w:jc w:val="both"/>
      </w:pPr>
      <w:r>
        <w:rPr/>
        <w:t xml:space="preserve">2. Bone tissue engineering, which focuses on intelligent bone repair and mimicking the structure and function of natural bone, offers potential solutions for enhanced bone regeneration.</w:t>
      </w:r>
    </w:p>
    <w:p>
      <w:pPr>
        <w:jc w:val="both"/>
      </w:pPr>
      <w:r>
        <w:rPr/>
        <w:t xml:space="preserve">3. The use of 3D printing technology, specifically Fused Deposition Modeling (FDM), combined with suitable materials like polymers (e.g., polylactic acid) and bioceramics (e.g., nano-hydroxyapatite), can create customized scaffolds with precise control over micro-structures to promote bone regeneration.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对于上述文章，我无法提供详细的批判性分析，因为只提供了文章的一部分内容。但是，根据所提供的信息，可以看出一些潜在的偏见和问题。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偏见来源：文章没有提及任何可能存在的风险或负面影响。它似乎只关注3D打印技术和材料在骨组织工程中的优势，而忽略了可能存在的挑战和限制。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片面报道：文章只介绍了3D打印技术和材料在骨组织工程中的优点，如定制化、形状控制和多孔结构等。然而，它没有提到其他可能存在的方法或材料，并没有对比分析不同方法之间的优缺点。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无根据的主张：文章声称金属移植物需要进行第二次手术来取出，并且对医生和患者来说效率低下和不方便。然而，它没有提供任何支持这些主张的具体证据或数据。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缺失的考虑点：文章没有讨论骨组织工程中可能存在的其他重要考虑因素，如免疫反应、感染风险、长期稳定性等。这些因素对于成功的骨再生至关重要，但在文章中被忽略了。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所提出主张的缺失证据：文章声称聚乳酸（PLA）是一种广泛认可的生物材料，并且具有良好的打印性能和机械支撑。然而，它没有提供任何支持这些主张的具体研究或实验证据。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未探索的反驳：文章没有探讨可能存在的反对意见或争议观点。它似乎只呈现了3D打印技术和材料在骨组织工程中的优势，而没有考虑到其他可能存在的观点或挑战。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宣传内容：文章似乎更像是一篇宣传性质的文章，旨在推广3D打印技术和材料在骨组织工程中的应用。它没有提供客观、全面和平衡的信息，而是强调了其优势和潜力。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所提供的信息，上述文章可能存在偏见、片面报道、无根据的主张、缺失考虑点、所提出主张缺乏证据、未探索反驳等问题。为了得出准确和全面的结论，需要进一步阅读完整的文章并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骨组织工程中的风险和负面影响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其他可能存在的方法或材料
</w:t>
      </w:r>
    </w:p>
    <w:p>
      <w:pPr>
        <w:spacing w:after="0"/>
        <w:numPr>
          <w:ilvl w:val="0"/>
          <w:numId w:val="2"/>
        </w:numPr>
      </w:pPr>
      <w:r>
        <w:rPr/>
        <w:t xml:space="preserve">金属移植物的效率和方便性问题的具体证据或数据
</w:t>
      </w:r>
    </w:p>
    <w:p>
      <w:pPr>
        <w:spacing w:after="0"/>
        <w:numPr>
          <w:ilvl w:val="0"/>
          <w:numId w:val="2"/>
        </w:numPr>
      </w:pPr>
      <w:r>
        <w:rPr/>
        <w:t xml:space="preserve">免疫反应、感染风险和长期稳定性等其他重要考虑因素
</w:t>
      </w:r>
    </w:p>
    <w:p>
      <w:pPr>
        <w:spacing w:after="0"/>
        <w:numPr>
          <w:ilvl w:val="0"/>
          <w:numId w:val="2"/>
        </w:numPr>
      </w:pPr>
      <w:r>
        <w:rPr/>
        <w:t xml:space="preserve">聚乳酸（PLA）作为生物材料的具体研究或实验证据
</w:t>
      </w:r>
    </w:p>
    <w:p>
      <w:pPr>
        <w:numPr>
          <w:ilvl w:val="0"/>
          <w:numId w:val="2"/>
        </w:numPr>
      </w:pPr>
      <w:r>
        <w:rPr/>
        <w:t xml:space="preserve">反对意见或争议观点的探讨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https://www.fullpicture.app/item/8108f8b143ebbab122276a3c62549218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725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9836823001440?via%3Dihub=" TargetMode="External"/><Relationship Id="rId8" Type="http://schemas.openxmlformats.org/officeDocument/2006/relationships/hyperlink" Target="https://www.fullpicture.app/item/8108f8b143ebbab122276a3c625492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2023-11-10T15:23:26+01:00</dcterms:created>
  <dcterms:modified xsi:type="dcterms:W3CDTF">2023-11-10T15:23:26+01:00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