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Aryl Hydrocarbon Receptor Activation Ameliorates Acute Respiratory Distress Syndrome through Regulation of Th17 and Th22 Cells in the Lungs | mBio</w:t>
      </w:r>
      <w:br/>
      <w:hyperlink r:id="rId7" w:history="1">
        <w:r>
          <w:rPr>
            <w:color w:val="2980b9"/>
            <w:u w:val="single"/>
          </w:rPr>
          <w:t xml:space="preserve">https://journals.asm.org/doi/10.1128/mbio.03137-22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AhR activation can attenuate LPS-induced ARDS by regulating Th17 and Th22 cells in the lungs.</w:t>
      </w:r>
    </w:p>
    <w:p>
      <w:pPr>
        <w:jc w:val="both"/>
      </w:pPr>
      <w:r>
        <w:rPr/>
        <w:t xml:space="preserve">2. AhR ligand, indole-3-carbinol (I3C), decreases pathogenic Th17 cells but increases Th22 cells in the lungs.</w:t>
      </w:r>
    </w:p>
    <w:p>
      <w:pPr>
        <w:jc w:val="both"/>
      </w:pPr>
      <w:r>
        <w:rPr/>
        <w:t xml:space="preserve">3. AhR activation downregulates miR-29b-2-5p, which leads to decreased RORc expression and increased IL-22 production.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作为一篇科学研究论文，该文章提供了关于急性呼吸窘迫综合征（ARDS）和aryl hydrocarbon receptor（AhR）的新见解。然而，该文章也存在一些潜在的偏见和问题。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探讨AhR在ARDS中的负面影响。虽然作者提到了AhR缺乏会导致肺部炎症和损伤，但他们没有深入探讨AhR过度激活可能对肺部免疫系统产生的负面影响。此外，该文章没有考虑到使用I3C等化学物质可能会带来其他不良反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其次，该文章未能平等地呈现双方观点。作者强调了AhR激活可以减轻ARDS，并将其视为治疗方法。然而，他们并没有探讨其他可能的治疗方法或与AhR相反的观点。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此外，该文章存在宣传内容。作者强调了COVID-19与ARDS之间的联系，并暗示使用I3C等物质可以治疗COVID-19相关的ARDS。然而，在这个阶段下结论还为时过早，并且需要更多证据来支持这种观点。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最后，该文章缺乏足够的数据支持其主张。尽管作者提供了一些实验结果来支持他们的结论，但是这些结果仅基于小样本量和动物模型，并且需要更多大规模人类试验来验证。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总之，虽然该文章提供了有关ARDS和AhR之间关系的新见解，但是它也存在一些潜在偏见和问题。读者应当保持批判性思维并谨慎评估其中所述内容。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Negative effects of AhR overactivation in ARDS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alternative treatment methods and opposing views
</w:t>
      </w:r>
    </w:p>
    <w:p>
      <w:pPr>
        <w:spacing w:after="0"/>
        <w:numPr>
          <w:ilvl w:val="0"/>
          <w:numId w:val="2"/>
        </w:numPr>
      </w:pPr>
      <w:r>
        <w:rPr/>
        <w:t xml:space="preserve">Potential adverse reactions to the use of I3C and other chemicals
</w:t>
      </w:r>
    </w:p>
    <w:p>
      <w:pPr>
        <w:spacing w:after="0"/>
        <w:numPr>
          <w:ilvl w:val="0"/>
          <w:numId w:val="2"/>
        </w:numPr>
      </w:pPr>
      <w:r>
        <w:rPr/>
        <w:t xml:space="preserve">Equal presentation of both sides of the argument
</w:t>
      </w:r>
    </w:p>
    <w:p>
      <w:pPr>
        <w:spacing w:after="0"/>
        <w:numPr>
          <w:ilvl w:val="0"/>
          <w:numId w:val="2"/>
        </w:numPr>
      </w:pPr>
      <w:r>
        <w:rPr/>
        <w:t xml:space="preserve">Lack of sufficient data to support the claims made in the article
</w:t>
      </w:r>
    </w:p>
    <w:p>
      <w:pPr>
        <w:numPr>
          <w:ilvl w:val="0"/>
          <w:numId w:val="2"/>
        </w:numPr>
      </w:pPr>
      <w:r>
        <w:rPr/>
        <w:t xml:space="preserve">Caution in drawing conclusions about the relationship between COVID-19 and ARDS.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https://www.fullpicture.app/item/7f3a89c5438eb2b58a8e5bfb83315157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FFDC8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urnals.asm.org/doi/10.1128/mbio.03137-22" TargetMode="External"/><Relationship Id="rId8" Type="http://schemas.openxmlformats.org/officeDocument/2006/relationships/hyperlink" Target="https://www.fullpicture.app/item/7f3a89c5438eb2b58a8e5bfb8331515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2023-12-05T12:14:27+01:00</dcterms:created>
  <dcterms:modified xsi:type="dcterms:W3CDTF">2023-12-05T12:14:27+01:00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