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习近平放弃动态清零的来龙去脉 - 华尔街日报</w:t>
      </w:r>
      <w:br/>
      <w:hyperlink r:id="rId7" w:history="1">
        <w:r>
          <w:rPr>
            <w:color w:val="2980b9"/>
            <w:u w:val="single"/>
          </w:rPr>
          <w:t xml:space="preserve">https://cn.wsj.com/articles/%E4%B9%A0%E8%BF%91%E5%B9%B3%E6%94%BE%E5%BC%83%E5%8A%A8%E6%80%81%E6%B8%85%E9%9B%B6%E7%9A%84%E6%9D%A5%E9%BE%99%E5%8E%BB%E8%84%89-11672890907</w:t>
        </w:r>
      </w:hyperlink>
    </w:p>
    <w:p>
      <w:pPr>
        <w:pStyle w:val="Heading1"/>
      </w:pPr>
      <w:bookmarkStart w:id="2" w:name="_Toc2"/>
      <w:r>
        <w:t>Article summary:</w:t>
      </w:r>
      <w:bookmarkEnd w:id="2"/>
    </w:p>
    <w:p>
      <w:pPr>
        <w:jc w:val="both"/>
      </w:pPr>
      <w:r>
        <w:rPr/>
        <w:t xml:space="preserve">1. 习近平的动态清零政策在面对新冠疫情上出现了问题，感染人数上升。</w:t>
      </w:r>
    </w:p>
    <w:p>
      <w:pPr>
        <w:jc w:val="both"/>
      </w:pPr>
      <w:r>
        <w:rPr/>
        <w:t xml:space="preserve">2. 尽管政府实施了严格的封控措施，但代价高昂，包括国内出口和零售销售大大减少、地方财政捉襟见肘、部分民众被逼到几乎崩溃的地步。</w:t>
      </w:r>
    </w:p>
    <w:p>
      <w:pPr>
        <w:jc w:val="both"/>
      </w:pPr>
      <w:r>
        <w:rPr/>
        <w:t xml:space="preserve">3. 截至去年11月中旬，习近平还在是否解除以及如何解除动态清零政策的问题上犹豫不决。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新闻报道，该文章存在一些潜在的偏见和片面报道。首先，文章没有提供足够的证据来支持其主张，例如“有关全国范围内新冠感染人数上升的报告流入中央”，但并没有具体说明这些报告是如何得出的、数据来源是否可靠等信息。其次，文章似乎将动态清零政策的失败归咎于习近平个人，并未探讨其他因素对政策实施的影响。</w:t>
      </w:r>
    </w:p>
    <w:p>
      <w:pPr>
        <w:jc w:val="both"/>
      </w:pPr>
      <w:r>
        <w:rPr/>
        <w:t xml:space="preserve"/>
      </w:r>
    </w:p>
    <w:p>
      <w:pPr>
        <w:jc w:val="both"/>
      </w:pPr>
      <w:r>
        <w:rPr/>
        <w:t xml:space="preserve">此外，文章也存在一些缺失的考虑点。例如，封控措施对中国经济造成了巨大影响，但文章并未深入探讨这种影响对中国社会和民众生活的具体影响。此外，文章也没有涉及到动态清零政策对其他国家和地区防疫措施的启示和借鉴价值。</w:t>
      </w:r>
    </w:p>
    <w:p>
      <w:pPr>
        <w:jc w:val="both"/>
      </w:pPr>
      <w:r>
        <w:rPr/>
        <w:t xml:space="preserve"/>
      </w:r>
    </w:p>
    <w:p>
      <w:pPr>
        <w:jc w:val="both"/>
      </w:pPr>
      <w:r>
        <w:rPr/>
        <w:t xml:space="preserve">最后，该文章可能存在宣传内容和偏袒现象。例如，在描述动态清零政策时使用了“高昂代价”、“部分民众被逼到几乎崩溃”的词语，暗示政策带来了极大负面影响。然而，在没有提供更多数据和事实支持的情况下，这种描述可能会误导读者。</w:t>
      </w:r>
    </w:p>
    <w:p>
      <w:pPr>
        <w:jc w:val="both"/>
      </w:pPr>
      <w:r>
        <w:rPr/>
        <w:t xml:space="preserve"/>
      </w:r>
    </w:p>
    <w:p>
      <w:pPr>
        <w:jc w:val="both"/>
      </w:pPr>
      <w:r>
        <w:rPr/>
        <w:t xml:space="preserve">总之，该文章存在一些问题和不足，需要更加客观、全面地呈现事实。</w:t>
      </w:r>
    </w:p>
    <w:p>
      <w:pPr>
        <w:pStyle w:val="Heading1"/>
      </w:pPr>
      <w:bookmarkStart w:id="5" w:name="_Toc5"/>
      <w:r>
        <w:t>Topics for further research:</w:t>
      </w:r>
      <w:bookmarkEnd w:id="5"/>
    </w:p>
    <w:p>
      <w:pPr>
        <w:spacing w:after="0"/>
        <w:numPr>
          <w:ilvl w:val="0"/>
          <w:numId w:val="2"/>
        </w:numPr>
      </w:pPr>
      <w:r>
        <w:rPr/>
        <w:t xml:space="preserve">Economic impact of COVID-19 measures in China
</w:t>
      </w:r>
    </w:p>
    <w:p>
      <w:pPr>
        <w:spacing w:after="0"/>
        <w:numPr>
          <w:ilvl w:val="0"/>
          <w:numId w:val="2"/>
        </w:numPr>
      </w:pPr>
      <w:r>
        <w:rPr/>
        <w:t xml:space="preserve">Factors affecting the implementation of dynamic zeroing policy
</w:t>
      </w:r>
    </w:p>
    <w:p>
      <w:pPr>
        <w:spacing w:after="0"/>
        <w:numPr>
          <w:ilvl w:val="0"/>
          <w:numId w:val="2"/>
        </w:numPr>
      </w:pPr>
      <w:r>
        <w:rPr/>
        <w:t xml:space="preserve">Reliability of reports on national COVID-19 infections
</w:t>
      </w:r>
    </w:p>
    <w:p>
      <w:pPr>
        <w:spacing w:after="0"/>
        <w:numPr>
          <w:ilvl w:val="0"/>
          <w:numId w:val="2"/>
        </w:numPr>
      </w:pPr>
      <w:r>
        <w:rPr/>
        <w:t xml:space="preserve">Lessons and implications of dynamic zeroing policy for other countries
</w:t>
      </w:r>
    </w:p>
    <w:p>
      <w:pPr>
        <w:spacing w:after="0"/>
        <w:numPr>
          <w:ilvl w:val="0"/>
          <w:numId w:val="2"/>
        </w:numPr>
      </w:pPr>
      <w:r>
        <w:rPr/>
        <w:t xml:space="preserve">Potential propaganda and bias in the article
</w:t>
      </w:r>
    </w:p>
    <w:p>
      <w:pPr>
        <w:numPr>
          <w:ilvl w:val="0"/>
          <w:numId w:val="2"/>
        </w:numPr>
      </w:pPr>
      <w:r>
        <w:rPr/>
        <w:t xml:space="preserve">Need for more objective and comprehensive reporting of facts</w:t>
      </w:r>
    </w:p>
    <w:p>
      <w:pPr>
        <w:pStyle w:val="Heading1"/>
      </w:pPr>
      <w:bookmarkStart w:id="6" w:name="_Toc6"/>
      <w:r>
        <w:t>Report location:</w:t>
      </w:r>
      <w:bookmarkEnd w:id="6"/>
    </w:p>
    <w:p>
      <w:hyperlink r:id="rId8" w:history="1">
        <w:r>
          <w:rPr>
            <w:color w:val="2980b9"/>
            <w:u w:val="single"/>
          </w:rPr>
          <w:t xml:space="preserve">https://www.fullpicture.app/item/7d85c55b88aa0748a7b582c4b0d96eed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59A2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wsj.com/articles/%E4%B9%A0%E8%BF%91%E5%B9%B3%E6%94%BE%E5%BC%83%E5%8A%A8%E6%80%81%E6%B8%85%E9%9B%B6%E7%9A%84%E6%9D%A5%E9%BE%99%E5%8E%BB%E8%84%89-11672890907" TargetMode="External"/><Relationship Id="rId8" Type="http://schemas.openxmlformats.org/officeDocument/2006/relationships/hyperlink" Target="https://www.fullpicture.app/item/7d85c55b88aa0748a7b582c4b0d96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2023-12-22T13:24:49+01:00</dcterms:created>
  <dcterms:modified xsi:type="dcterms:W3CDTF">2023-12-22T13:24:49+01:00</dcterms:modified>
</cp:coreProperties>
</file>

<file path=docProps/custom.xml><?xml version="1.0" encoding="utf-8"?>
<Properties xmlns="http://schemas.openxmlformats.org/officeDocument/2006/custom-properties" xmlns:vt="http://schemas.openxmlformats.org/officeDocument/2006/docPropsVTypes"/>
</file>