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ÜLEVAADE ⟩ Koalitsioonikõnelustel lepiti kokku neljas suures reformis</w:t>
      </w:r>
      <w:br/>
      <w:hyperlink r:id="rId7" w:history="1">
        <w:r>
          <w:rPr>
            <w:color w:val="2980b9"/>
            <w:u w:val="single"/>
          </w:rPr>
          <w:t xml:space="preserve">https://leht.postimees.ee/7749213/ulevaade-koalitsioonikonelustel-lepiti-kokku-neljas-suures-reformis</w:t>
        </w:r>
      </w:hyperlink>
    </w:p>
    <w:p>
      <w:pPr>
        <w:pStyle w:val="Heading1"/>
      </w:pPr>
      <w:bookmarkStart w:id="2" w:name="_Toc2"/>
      <w:r>
        <w:t>Article summary:</w:t>
      </w:r>
      <w:bookmarkEnd w:id="2"/>
    </w:p>
    <w:p>
      <w:pPr>
        <w:jc w:val="both"/>
      </w:pPr>
      <w:r>
        <w:rPr/>
        <w:t xml:space="preserve">1. Uues valitsuses on kokku nelja põhiministeeriumi töö, mis sisaldavad kümneid reforme ja seadusemuudatusi.</w:t>
      </w:r>
    </w:p>
    <w:p>
      <w:pPr>
        <w:jc w:val="both"/>
      </w:pPr>
      <w:r>
        <w:rPr/>
        <w:t xml:space="preserve">2. Rahandusministeeriumi ülesandeks on riigi tulu- ja kulubaasi üle vaatamine ning uute maksureformide tegemine, sealhulgas maksulangetused ja -tõusud.</w:t>
      </w:r>
    </w:p>
    <w:p>
      <w:pPr>
        <w:jc w:val="both"/>
      </w:pPr>
      <w:r>
        <w:rPr/>
        <w:t xml:space="preserve">3. Uue valitsuse peaminister saab võimu ja rolle juurde ning Euroopa Komisjoni voliniku koht jäi Reformierakonnale, kuid kedagi nimeliselt ei määratud.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 "Koalitsioonikõnelustel lepiti kokku neljas suures reformis" annab ülevaate uue valitsuse plaanidest nelja põhiministeeriumi töö kaudu ning nende eesmärkidest ja võimalikest tagajärgedest. Artikkel on ühekülgne, kuna see keskendub peamiselt uute reformide kirjeldamisele, jättes välja nende võimalikud negatiivsed mõjud ja vastuargumendid.</w:t>
      </w:r>
    </w:p>
    <w:p>
      <w:pPr>
        <w:jc w:val="both"/>
      </w:pPr>
      <w:r>
        <w:rPr/>
        <w:t xml:space="preserve"/>
      </w:r>
    </w:p>
    <w:p>
      <w:pPr>
        <w:jc w:val="both"/>
      </w:pPr>
      <w:r>
        <w:rPr/>
        <w:t xml:space="preserve">Artiklis esitatud väited on toetamata ning puuduvad tõendid. Näiteks öeldakse, et uus valitsus plaanib teha maksureforme ning vaadata üle KOVide tulubaasi, kuid ei anta konkreetseid näiteid selle kohta, millised need muudatused täpselt oleksid. Samuti mainitakse, et personaalriigiministeeriumi eesmärk on riigihalduse põhimõtteline ümberkorraldamine, kuid ei selgitata, mida see täpselt tähendab.</w:t>
      </w:r>
    </w:p>
    <w:p>
      <w:pPr>
        <w:jc w:val="both"/>
      </w:pPr>
      <w:r>
        <w:rPr/>
        <w:t xml:space="preserve"/>
      </w:r>
    </w:p>
    <w:p>
      <w:pPr>
        <w:jc w:val="both"/>
      </w:pPr>
      <w:r>
        <w:rPr/>
        <w:t xml:space="preserve">Artikkel ei esita kaalutluspunkte ega uurimata vastuargumendeid. Näiteks öeldakse, et uued reformid aitavad kaasa rohepöördele ja regionaalarengule, kuid ei arutleta selle üle, kas need muudatused võivad kaasa tuua negatiivseid tagajärgi teistele sektoritele või piirkondadele.</w:t>
      </w:r>
    </w:p>
    <w:p>
      <w:pPr>
        <w:jc w:val="both"/>
      </w:pPr>
      <w:r>
        <w:rPr/>
        <w:t xml:space="preserve"/>
      </w:r>
    </w:p>
    <w:p>
      <w:pPr>
        <w:jc w:val="both"/>
      </w:pPr>
      <w:r>
        <w:rPr/>
        <w:t xml:space="preserve">Artikkel võib sisaldada ka eelarvamusi, kuna see keskendub peamiselt uue valitsuse plaanide positiivsetele aspektidele ning ei arutle nende võimalike negatiivsete tagajärgede üle. Samuti ei esitata artiklis mõlema poole võrdset esitlemist ning see võib olla seotud ajakirjaniku poliitiliste vaadetega.</w:t>
      </w:r>
    </w:p>
    <w:p>
      <w:pPr>
        <w:jc w:val="both"/>
      </w:pPr>
      <w:r>
        <w:rPr/>
        <w:t xml:space="preserve"/>
      </w:r>
    </w:p>
    <w:p>
      <w:pPr>
        <w:jc w:val="both"/>
      </w:pPr>
      <w:r>
        <w:rPr/>
        <w:t xml:space="preserve">Kokkuvõttes tuleks artikli lugemisel olla ettevaatlik ning mitte võtta esitatud väiteid kui absoluutseid tõdesid. On oluline kaaluda erinevaid vaatenurki ning uurida võimalikke riske ja tagajärgi enne uute reformide elluviimist.</w:t>
      </w:r>
    </w:p>
    <w:p>
      <w:pPr>
        <w:pStyle w:val="Heading1"/>
      </w:pPr>
      <w:bookmarkStart w:id="5" w:name="_Toc5"/>
      <w:r>
        <w:t>Topics for further research:</w:t>
      </w:r>
      <w:bookmarkEnd w:id="5"/>
    </w:p>
    <w:p>
      <w:pPr>
        <w:spacing w:after="0"/>
        <w:numPr>
          <w:ilvl w:val="0"/>
          <w:numId w:val="2"/>
        </w:numPr>
      </w:pPr>
      <w:r>
        <w:rPr/>
        <w:t xml:space="preserve">Negatiivsed tagajärjed uute maksureformide elluviimisel
</w:t>
      </w:r>
    </w:p>
    <w:p>
      <w:pPr>
        <w:spacing w:after="0"/>
        <w:numPr>
          <w:ilvl w:val="0"/>
          <w:numId w:val="2"/>
        </w:numPr>
      </w:pPr>
      <w:r>
        <w:rPr/>
        <w:t xml:space="preserve">Vastuargumendid KOVide tulubaasi ülevaatamisele
</w:t>
      </w:r>
    </w:p>
    <w:p>
      <w:pPr>
        <w:spacing w:after="0"/>
        <w:numPr>
          <w:ilvl w:val="0"/>
          <w:numId w:val="2"/>
        </w:numPr>
      </w:pPr>
      <w:r>
        <w:rPr/>
        <w:t xml:space="preserve">Riigihalduse ümberkorraldamise võimalikud tagajärjed
</w:t>
      </w:r>
    </w:p>
    <w:p>
      <w:pPr>
        <w:spacing w:after="0"/>
        <w:numPr>
          <w:ilvl w:val="0"/>
          <w:numId w:val="2"/>
        </w:numPr>
      </w:pPr>
      <w:r>
        <w:rPr/>
        <w:t xml:space="preserve">Uute reformide mõju teistele sektoritele
</w:t>
      </w:r>
    </w:p>
    <w:p>
      <w:pPr>
        <w:spacing w:after="0"/>
        <w:numPr>
          <w:ilvl w:val="0"/>
          <w:numId w:val="2"/>
        </w:numPr>
      </w:pPr>
      <w:r>
        <w:rPr/>
        <w:t xml:space="preserve">Piirkondlikud erinevused uute reformide mõjul
</w:t>
      </w:r>
    </w:p>
    <w:p>
      <w:pPr>
        <w:numPr>
          <w:ilvl w:val="0"/>
          <w:numId w:val="2"/>
        </w:numPr>
      </w:pPr>
      <w:r>
        <w:rPr/>
        <w:t xml:space="preserve">Kriitika uute reformide poliitiliste eelistuste kohta</w:t>
      </w:r>
    </w:p>
    <w:p>
      <w:pPr>
        <w:pStyle w:val="Heading1"/>
      </w:pPr>
      <w:bookmarkStart w:id="6" w:name="_Toc6"/>
      <w:r>
        <w:t>Report location:</w:t>
      </w:r>
      <w:bookmarkEnd w:id="6"/>
    </w:p>
    <w:p>
      <w:hyperlink r:id="rId8" w:history="1">
        <w:r>
          <w:rPr>
            <w:color w:val="2980b9"/>
            <w:u w:val="single"/>
          </w:rPr>
          <w:t xml:space="preserve">https://www.fullpicture.app/item/7cf1e95f6e0a698baf47106eec4a882d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38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ht.postimees.ee/7749213/ulevaade-koalitsioonikonelustel-lepiti-kokku-neljas-suures-reformis" TargetMode="External"/><Relationship Id="rId8" Type="http://schemas.openxmlformats.org/officeDocument/2006/relationships/hyperlink" Target="https://www.fullpicture.app/item/7cf1e95f6e0a698baf47106eec4a88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2023-12-30T21:52:12+01:00</dcterms:created>
  <dcterms:modified xsi:type="dcterms:W3CDTF">2023-12-30T21:52:12+01:00</dcterms:modified>
</cp:coreProperties>
</file>

<file path=docProps/custom.xml><?xml version="1.0" encoding="utf-8"?>
<Properties xmlns="http://schemas.openxmlformats.org/officeDocument/2006/custom-properties" xmlns:vt="http://schemas.openxmlformats.org/officeDocument/2006/docPropsVTypes"/>
</file>