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Homogeneous Binary Visual and Fluorescence Detection of Tetanus Toxoid in Clinical Samples Based on Enzyme-Free Parallel Hybrid Chain Reaction | Nano Letters</w:t>
      </w:r>
      <w:br/>
      <w:hyperlink r:id="rId7" w:history="1">
        <w:r>
          <w:rPr>
            <w:color w:val="2980b9"/>
            <w:u w:val="single"/>
          </w:rPr>
          <w:t xml:space="preserve">https://pubs.acs.org/doi/10.1021/acs.nanolett.1c04818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基于酶自由并行杂交链反应、阳离子交换反应和喷墨打印技术，建立了一种简单的基于适配体的毒素检测方法。</w:t>
      </w:r>
    </w:p>
    <w:p>
      <w:pPr>
        <w:jc w:val="both"/>
      </w:pPr>
      <w:r>
        <w:rPr/>
        <w:t xml:space="preserve">2. 该方法可以同时进行荧光和二进制视觉读数，并在临床样本中成功检测到破伤风类毒素，荧光检测的检出限为0.25 fg/mL，二进制视觉读数的检出限分别为10 fg/mL和1 fg/mL。</w:t>
      </w:r>
    </w:p>
    <w:p>
      <w:pPr>
        <w:jc w:val="both"/>
      </w:pPr>
      <w:r>
        <w:rPr/>
        <w:t xml:space="preserve">3. 该策略还能够准确监测患者在药物治疗前后的破伤风类毒素水平，并建议将5 fg/mL作为破伤风感染的截止值。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作为一篇科学论文，该文章提供了一个简单的基于适配体的毒素检测方法，并使用荧光和二进制视觉读数进行检测。然而，该文章存在一些潜在的偏见和缺失。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及其他可能存在的干扰物质对检测结果的影响。例如，在临床样本中可能存在其他蛋白质或化合物，这些物质可能会干扰到毒素的检测结果。此外，该文章也没有探讨不同样本类型（如血清、尿液等）对检测结果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其次，该文章没有提供足够的证据来支持作者所提出的建议将5 fg/mL作为破伤风感染的截止值。这个建议是否具有普遍性还需要更多实验数据来验证。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此外，该文章并未探讨可能存在的风险或局限性。例如，在实际应用中，这种方法是否能够满足快速、准确、可靠和经济实惠等方面的要求？是否存在其他更好的替代方法？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最后，虽然该文章声称使用了“无酶”技术进行检测，但并未详细说明其具体原理和优势。因此，在评估其可靠性和实用性时，需要更多的信息和证据来支持其所提出的主张。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总之，该文章提供了一个有趣的检测方法，但需要更多的研究来验证其可靠性和实用性，并探讨可能存在的风险和局限性。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Interference of other substances
</w:t>
      </w:r>
    </w:p>
    <w:p>
      <w:pPr>
        <w:spacing w:after="0"/>
        <w:numPr>
          <w:ilvl w:val="0"/>
          <w:numId w:val="2"/>
        </w:numPr>
      </w:pPr>
      <w:r>
        <w:rPr/>
        <w:t xml:space="preserve">Different sample types
</w:t>
      </w:r>
    </w:p>
    <w:p>
      <w:pPr>
        <w:spacing w:after="0"/>
        <w:numPr>
          <w:ilvl w:val="0"/>
          <w:numId w:val="2"/>
        </w:numPr>
      </w:pPr>
      <w:r>
        <w:rPr/>
        <w:t xml:space="preserve">Validity of the proposed cut-off value
</w:t>
      </w:r>
    </w:p>
    <w:p>
      <w:pPr>
        <w:spacing w:after="0"/>
        <w:numPr>
          <w:ilvl w:val="0"/>
          <w:numId w:val="2"/>
        </w:numPr>
      </w:pPr>
      <w:r>
        <w:rPr/>
        <w:t xml:space="preserve">Risks and limitations
</w:t>
      </w:r>
    </w:p>
    <w:p>
      <w:pPr>
        <w:spacing w:after="0"/>
        <w:numPr>
          <w:ilvl w:val="0"/>
          <w:numId w:val="2"/>
        </w:numPr>
      </w:pPr>
      <w:r>
        <w:rPr/>
        <w:t xml:space="preserve">Enzyme-free technology
</w:t>
      </w:r>
    </w:p>
    <w:p>
      <w:pPr>
        <w:numPr>
          <w:ilvl w:val="0"/>
          <w:numId w:val="2"/>
        </w:numPr>
      </w:pPr>
      <w:r>
        <w:rPr/>
        <w:t xml:space="preserve">Reliability and practicality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https://www.fullpicture.app/item/7c169faa98e865032fc8797129092f74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EEE24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s.acs.org/doi/10.1021/acs.nanolett.1c04818" TargetMode="External"/><Relationship Id="rId8" Type="http://schemas.openxmlformats.org/officeDocument/2006/relationships/hyperlink" Target="https://www.fullpicture.app/item/7c169faa98e865032fc8797129092f7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2023-05-06T15:37:54+02:00</dcterms:created>
  <dcterms:modified xsi:type="dcterms:W3CDTF">2023-05-06T15:37:54+02:00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