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National sport organization governance design archetypes for the twenty-first century --- 全文：二十一世纪国家体育组织治理设计原型</w:t>
      </w:r>
      <w:br/>
      <w:hyperlink r:id="rId7" w:history="1">
        <w:r>
          <w:rPr>
            <w:color w:val="2980b9"/>
            <w:u w:val="single"/>
          </w:rPr>
          <w:t xml:space="preserve">https://www.tandfonline.com/doi/full/10.1080/16184742.2021.1963801?src=recsys</w:t>
        </w:r>
      </w:hyperlink>
    </w:p>
    <w:p>
      <w:pPr>
        <w:pStyle w:val="Heading1"/>
      </w:pPr>
      <w:bookmarkStart w:id="2" w:name="_Toc2"/>
      <w:r>
        <w:t>Article summary:</w:t>
      </w:r>
      <w:bookmarkEnd w:id="2"/>
    </w:p>
    <w:p>
      <w:pPr>
        <w:jc w:val="both"/>
      </w:pPr>
      <w:r>
        <w:rPr/>
        <w:t xml:space="preserve">1. 文章介绍了过去和现在体育组织治理设计原型的重要性。过去的设计原型已经被广泛引用，但由于体育组织的总体环境发生了变化，需要新的原型来反映当代操作环境。</w:t>
      </w:r>
    </w:p>
    <w:p>
      <w:pPr>
        <w:jc w:val="both"/>
      </w:pPr>
      <w:r>
        <w:rPr/>
        <w:t xml:space="preserve">2. 与此同时，对于体育组织内部运作和利益相关者互动的理解也在不断发展，尤其是关于（良好）治理和利益相关者管理/互动的重要性。国家规则或法律以及国际准则在各自的司法管辖区得到应用，因此治理原则的应用应取决于体育组织类型，这表明治理应用可能存在异质性。</w:t>
      </w:r>
    </w:p>
    <w:p>
      <w:pPr>
        <w:jc w:val="both"/>
      </w:pPr>
      <w:r>
        <w:rPr/>
        <w:t xml:space="preserve">3. 使用设计原型可以帮助我们理解在国家体育组织中实施更好治理所涉及的微妙差异和潜在多样性。之前的研究表明，在规模或实施“良好”治理程度上存在差异，因此使用设计原型可以揭示这种差异，并有助于改进治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这篇文章主要讨论了二十一世纪国家体育组织治理设计原型的重要性和必要性。然而，文章存在一些潜在的偏见和问题。</w:t>
      </w:r>
    </w:p>
    <w:p>
      <w:pPr>
        <w:jc w:val="both"/>
      </w:pPr>
      <w:r>
        <w:rPr/>
        <w:t xml:space="preserve"/>
      </w:r>
    </w:p>
    <w:p>
      <w:pPr>
        <w:jc w:val="both"/>
      </w:pPr>
      <w:r>
        <w:rPr/>
        <w:t xml:space="preserve">首先，文章引用了一些过去的研究来支持其观点，但没有提供足够的证据来支持这些观点。例如，文章提到Hoye等人和Kikulis等人的研究被引用了很多次，但没有具体说明这些研究是如何得出结论的，也没有提供其他相关研究来支持这些结论。</w:t>
      </w:r>
    </w:p>
    <w:p>
      <w:pPr>
        <w:jc w:val="both"/>
      </w:pPr>
      <w:r>
        <w:rPr/>
        <w:t xml:space="preserve"/>
      </w:r>
    </w:p>
    <w:p>
      <w:pPr>
        <w:jc w:val="both"/>
      </w:pPr>
      <w:r>
        <w:rPr/>
        <w:t xml:space="preserve">其次，文章没有充分考虑到体育组织治理设计原型可能存在的风险和局限性。治理设计原型可能会导致对某些组织形式的偏见，并忽视了其他可能有效的治理模式。此外，由于不同国家和地区的法律、文化和制度差异，将一个标准应用于所有国家体育组织可能并不合适。</w:t>
      </w:r>
    </w:p>
    <w:p>
      <w:pPr>
        <w:jc w:val="both"/>
      </w:pPr>
      <w:r>
        <w:rPr/>
        <w:t xml:space="preserve"/>
      </w:r>
    </w:p>
    <w:p>
      <w:pPr>
        <w:jc w:val="both"/>
      </w:pPr>
      <w:r>
        <w:rPr/>
        <w:t xml:space="preserve">此外，文章还缺乏对利益相关者参与和管理互动的全面考虑。尽管提到了一些相关研究，但没有深入探讨利益相关者参与和管理互动对体育组织治理的影响。</w:t>
      </w:r>
    </w:p>
    <w:p>
      <w:pPr>
        <w:jc w:val="both"/>
      </w:pPr>
      <w:r>
        <w:rPr/>
        <w:t xml:space="preserve"/>
      </w:r>
    </w:p>
    <w:p>
      <w:pPr>
        <w:jc w:val="both"/>
      </w:pPr>
      <w:r>
        <w:rPr/>
        <w:t xml:space="preserve">最后，文章未能平衡地呈现双方观点。它主要关注了体育组织治理设计原型的重要性，但没有提供对这些原型可能存在的问题和争议的深入讨论。</w:t>
      </w:r>
    </w:p>
    <w:p>
      <w:pPr>
        <w:jc w:val="both"/>
      </w:pPr>
      <w:r>
        <w:rPr/>
        <w:t xml:space="preserve"/>
      </w:r>
    </w:p>
    <w:p>
      <w:pPr>
        <w:jc w:val="both"/>
      </w:pPr>
      <w:r>
        <w:rPr/>
        <w:t xml:space="preserve">总之，尽管这篇文章提出了一些有趣的观点，但它存在一些潜在的偏见和问题。未来的研究应该更全面地考虑不同国家和地区的差异，并探索其他可能有效的治理模式。此外，需要更多的实证研究来支持这些观点，并平衡地呈现不同观点和争议。</w:t>
      </w:r>
    </w:p>
    <w:p>
      <w:pPr>
        <w:pStyle w:val="Heading1"/>
      </w:pPr>
      <w:bookmarkStart w:id="5" w:name="_Toc5"/>
      <w:r>
        <w:t>Topics for further research:</w:t>
      </w:r>
      <w:bookmarkEnd w:id="5"/>
    </w:p>
    <w:p>
      <w:pPr>
        <w:spacing w:after="0"/>
        <w:numPr>
          <w:ilvl w:val="0"/>
          <w:numId w:val="2"/>
        </w:numPr>
      </w:pPr>
      <w:r>
        <w:rPr/>
        <w:t xml:space="preserve">Hoye等人和Kikulis等人的研究结论
</w:t>
      </w:r>
    </w:p>
    <w:p>
      <w:pPr>
        <w:spacing w:after="0"/>
        <w:numPr>
          <w:ilvl w:val="0"/>
          <w:numId w:val="2"/>
        </w:numPr>
      </w:pPr>
      <w:r>
        <w:rPr/>
        <w:t xml:space="preserve">治理设计原型的风险和局限性
</w:t>
      </w:r>
    </w:p>
    <w:p>
      <w:pPr>
        <w:spacing w:after="0"/>
        <w:numPr>
          <w:ilvl w:val="0"/>
          <w:numId w:val="2"/>
        </w:numPr>
      </w:pPr>
      <w:r>
        <w:rPr/>
        <w:t xml:space="preserve">不同国家和地区的法律、文化和制度差异
</w:t>
      </w:r>
    </w:p>
    <w:p>
      <w:pPr>
        <w:spacing w:after="0"/>
        <w:numPr>
          <w:ilvl w:val="0"/>
          <w:numId w:val="2"/>
        </w:numPr>
      </w:pPr>
      <w:r>
        <w:rPr/>
        <w:t xml:space="preserve">利益相关者参与和管理互动对体育组织治理的影响
</w:t>
      </w:r>
    </w:p>
    <w:p>
      <w:pPr>
        <w:spacing w:after="0"/>
        <w:numPr>
          <w:ilvl w:val="0"/>
          <w:numId w:val="2"/>
        </w:numPr>
      </w:pPr>
      <w:r>
        <w:rPr/>
        <w:t xml:space="preserve">没有平衡地呈现双方观点
</w:t>
      </w:r>
    </w:p>
    <w:p>
      <w:pPr>
        <w:numPr>
          <w:ilvl w:val="0"/>
          <w:numId w:val="2"/>
        </w:numPr>
      </w:pPr>
      <w:r>
        <w:rPr/>
        <w:t xml:space="preserve">其他可能有效的治理模式</w:t>
      </w:r>
    </w:p>
    <w:p>
      <w:pPr>
        <w:pStyle w:val="Heading1"/>
      </w:pPr>
      <w:bookmarkStart w:id="6" w:name="_Toc6"/>
      <w:r>
        <w:t>Report location:</w:t>
      </w:r>
      <w:bookmarkEnd w:id="6"/>
    </w:p>
    <w:p>
      <w:hyperlink r:id="rId8" w:history="1">
        <w:r>
          <w:rPr>
            <w:color w:val="2980b9"/>
            <w:u w:val="single"/>
          </w:rPr>
          <w:t xml:space="preserve">https://www.fullpicture.app/item/7b9c867019b5989ebd87ddadfb57b9f7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54C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6184742.2021.1963801?src=recsys" TargetMode="External"/><Relationship Id="rId8" Type="http://schemas.openxmlformats.org/officeDocument/2006/relationships/hyperlink" Target="https://www.fullpicture.app/item/7b9c867019b5989ebd87ddadfb57b9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2023-12-08T09:19:49+01:00</dcterms:created>
  <dcterms:modified xsi:type="dcterms:W3CDTF">2023-12-08T09:19:49+01:00</dcterms:modified>
</cp:coreProperties>
</file>

<file path=docProps/custom.xml><?xml version="1.0" encoding="utf-8"?>
<Properties xmlns="http://schemas.openxmlformats.org/officeDocument/2006/custom-properties" xmlns:vt="http://schemas.openxmlformats.org/officeDocument/2006/docPropsVTypes"/>
</file>