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standalone="yes"?>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w:body><w:p><w:pPr><w:pStyle w:val="Heading1"/></w:pPr><w:bookmarkStart w:id="1" w:name="_Toc1"/><w:r><w:t>Article information:</w:t></w:r><w:bookmarkEnd w:id="1"/></w:p><w:p><w:pPr/><w:r><w:rPr/><w:t xml:space="preserve">大学生信用消费现状研究——以蚌埠市大学城为例 - 中国知网</w:t></w:r><w:br/><w:hyperlink r:id="rId7" w:history="1"><w:r><w:rPr><w:color w:val="2980b9"/><w:u w:val="single"/></w:rPr><w:t xml:space="preserve">http://wrdvpn.zufe.edu.cn/https/77726476706e69737468656265737421fbf952d2243e635930068cb8/kcms2/article/abstract?v=3uoqIhG8C44YLTlOAiTRKibYlV5Vjs7i0-kJR0HYBJ80QN9L51zrPzmmiOsTO7an4TuCLOWzPSi9kcs8Mr_xHUhahxWjH6ek&uniplatform=NZKPT</w:t></w:r></w:hyperlink></w:p><w:p><w:pPr><w:pStyle w:val="Heading1"/></w:pPr><w:bookmarkStart w:id="2" w:name="_Toc2"/><w:r><w:t>Article summary:</w:t></w:r><w:bookmarkEnd w:id="2"/></w:p><w:p><w:pPr><w:jc w:val="both"/></w:pPr><w:r><w:rPr/><w:t xml:space="preserve">1. Credit consumption among college students in Bengbu City's University Town: The article focuses on studying the current status of credit consumption among college students in Bengbu City's University Town. The survey was conducted using questionnaires distributed to four universities in the area.</w:t></w:r></w:p><w:p><w:pPr><w:jc w:val="both"/></w:pPr><w:r><w:rPr/><w:t xml:space="preserve"></w:t></w:r></w:p><w:p><w:pPr><w:jc w:val="both"/></w:pPr><w:r><w:rPr/><w:t xml:space="preserve">2. Characteristics and problems of contemporary college students' credit consumption: Through statistical analysis of the survey data, the article identifies the characteristics and existing problems of credit consumption among college students. It highlights both the convenience and risks associated with credit consumption as an emerging consumption model.</w:t></w:r></w:p><w:p><w:pPr><w:jc w:val="both"/></w:pPr><w:r><w:rPr/><w:t xml:space="preserve"></w:t></w:r></w:p><w:p><w:pPr><w:jc w:val="both"/></w:pPr><w:r><w:rPr/><w:t xml:space="preserve">3. Suggestions for improving college students' credit consumption: Based on the findings, the article proposes effective suggestions to address the identified problems and improve college students' credit consumption habits. These suggestions aim to enhance financial literacy and promote responsible credit behavior among college students.</w:t></w:r></w:p><w:p><w:pPr><w:jc w:val="both"/></w:pPr><w:r><w:rPr/><w:t xml:space="preserve"></w:t></w:r></w:p><w:p><w:pPr><w:jc w:val="both"/></w:pPr><w:r><w:rPr/><w:t xml:space="preserve">Overall, this research provides insights into the current state of credit consumption among college students in Bengbu City's University Town and offers recommendations for promoting responsible credit behavior among this demographic group.</w:t></w:r></w:p><w:p><w:pPr><w:pStyle w:val="Heading1"/></w:pPr><w:bookmarkStart w:id="3" w:name="_Toc3"/><w:r><w:t>Article rating:</w:t></w:r><w:bookmarkEnd w:id="3"/></w:p><w:p><w:pPr><w:jc w:val="both"/></w:pPr><w:r><w:rPr/><w:t xml:space="preserve">Appears strongly imbalanced: The article is written in a biased or one-sided way, and the information it provides is not trustworthy enough to be considered a reliable source. You should consult other sources to find reliable information on the presented issues.</w:t></w:r></w:p><w:p><w:pPr><w:pStyle w:val="Heading1"/></w:pPr><w:bookmarkStart w:id="4" w:name="_Toc4"/><w:r><w:t>Article analysis:</w:t></w:r><w:bookmarkEnd w:id="4"/></w:p><w:p><w:pPr><w:jc w:val="both"/></w:pPr><w:r><w:rPr/><w:t xml:space="preserve">对于上述文章的批判性分析如下：</w:t></w:r></w:p><w:p><w:pPr><w:jc w:val="both"/></w:pPr><w:r><w:rPr/><w:t xml:space="preserve"></w:t></w:r></w:p><w:p><w:pPr><w:jc w:val="both"/></w:pPr><w:r><w:rPr/><w:t xml:space="preserve">1. 潜在偏见及其来源：文章没有明确提到作者的立场或观点，因此很难确定是否存在潜在偏见。然而，由于该研究是由安徽财经大学资助的，可能存在一定程度上的利益关系，这可能会影响研究结果和结论。</w:t></w:r></w:p><w:p><w:pPr><w:jc w:val="both"/></w:pPr><w:r><w:rPr/><w:t xml:space="preserve"></w:t></w:r></w:p><w:p><w:pPr><w:jc w:val="both"/></w:pPr><w:r><w:rPr/><w:t xml:space="preserve">2. 片面报道：文章只选择了蚌埠市大学城的四所大学作为调查对象，这样的样本容量较小且局限性较高。这种选择可能导致对大学生信用消费现状的整体认识不准确，并不能代表全国范围内大学生信用消费情况。</w:t></w:r></w:p><w:p><w:pPr><w:jc w:val="both"/></w:pPr><w:r><w:rPr/><w:t xml:space="preserve"></w:t></w:r></w:p><w:p><w:pPr><w:jc w:val="both"/></w:pPr><w:r><w:rPr/><w:t xml:space="preserve">3. 无根据的主张：文章提到信用消费带来巨大风险，但没有提供具体数据或案例来支持这一观点。缺乏实证数据使得读者难以相信该主张。</w:t></w:r></w:p><w:p><w:pPr><w:jc w:val="both"/></w:pPr><w:r><w:rPr/><w:t xml:space="preserve"></w:t></w:r></w:p><w:p><w:pPr><w:jc w:val="both"/></w:pPr><w:r><w:rPr/><w:t xml:space="preserve">4. 缺失的考虑点：文章没有涉及到大学生信用消费中可能存在的道德风险、信息不对称等问题。这些因素也会对大学生信用消费产生重要影响，但未被充分考虑。</w:t></w:r></w:p><w:p><w:pPr><w:jc w:val="both"/></w:pPr><w:r><w:rPr/><w:t xml:space="preserve"></w:t></w:r></w:p><w:p><w:pPr><w:jc w:val="both"/></w:pPr><w:r><w:rPr/><w:t xml:space="preserve">5. 所提出主张的缺失证据：尽管文章提出了一些建议，但没有提供相关证据或研究结果来支持这些建议的有效性。这使得读者难以相信这些建议是否可行。</w:t></w:r></w:p><w:p><w:pPr><w:jc w:val="both"/></w:pPr><w:r><w:rPr/><w:t xml:space="preserve"></w:t></w:r></w:p><w:p><w:pPr><w:jc w:val="both"/></w:pPr><w:r><w:rPr/><w:t xml:space="preserve">6. 未探索的反驳：文章没有涉及到可能存在的反对意见或观点，也没有进行充分的讨论和辩论。这导致文章缺乏全面性和客观性。</w:t></w:r></w:p><w:p><w:pPr><w:jc w:val="both"/></w:pPr><w:r><w:rPr/><w:t xml:space="preserve"></w:t></w:r></w:p><w:p><w:pPr><w:jc w:val="both"/></w:pPr><w:r><w:rPr/><w:t xml:space="preserve">7. 宣传内容：文章中提到了该研究是由安徽财经大学资助的，并且给出了项目编号。这种宣传内容可能会影响读者对研究结果的客观性和可信度。</w:t></w:r></w:p><w:p><w:pPr><w:jc w:val="both"/></w:pPr><w:r><w:rPr/><w:t xml:space="preserve"></w:t></w:r></w:p><w:p><w:pPr><w:jc w:val="both"/></w:pPr><w:r><w:rPr/><w:t xml:space="preserve">综上所述，上述文章存在一些潜在偏见、片面报道、无根据的主张、缺失的考虑点、所提出主张的缺失证据、未探索的反驳以及宣传内容等问题。读者在阅读该文章时应保持批判思维，并结合其他来源进行综合分析。</w:t></w:r></w:p><w:p><w:pPr><w:pStyle w:val="Heading1"/></w:pPr><w:bookmarkStart w:id="5" w:name="_Toc5"/><w:r><w:t>Topics for further research:</w:t></w:r><w:bookmarkEnd w:id="5"/></w:p><w:p><w:pPr><w:spacing w:after="0"/><w:numPr><w:ilvl w:val="0"/><w:numId w:val="2"/></w:numPr></w:pPr><w:r><w:rPr/><w:t xml:space="preserve">大学生信用消费现状的整体认识
</w:t></w:r></w:p><w:p><w:pPr><w:spacing w:after="0"/><w:numPr><w:ilvl w:val="0"/><w:numId w:val="2"/></w:numPr></w:pPr><w:r><w:rPr/><w:t xml:space="preserve">信用消费带来的巨大风险的具体数据或案例
</w:t></w:r></w:p><w:p><w:pPr><w:spacing w:after="0"/><w:numPr><w:ilvl w:val="0"/><w:numId w:val="2"/></w:numPr></w:pPr><w:r><w:rPr/><w:t xml:space="preserve">大学生信用消费中可能存在的道德风险、信息不对称等问题
</w:t></w:r></w:p><w:p><w:pPr><w:spacing w:after="0"/><w:numPr><w:ilvl w:val="0"/><w:numId w:val="2"/></w:numPr></w:pPr><w:r><w:rPr/><w:t xml:space="preserve">提出的建议的有效性的相关证据或研究结果
</w:t></w:r></w:p><w:p><w:pPr><w:spacing w:after="0"/><w:numPr><w:ilvl w:val="0"/><w:numId w:val="2"/></w:numPr></w:pPr><w:r><w:rPr/><w:t xml:space="preserve">反对意见或观点的探讨和辩论
</w:t></w:r></w:p><w:p><w:pPr><w:numPr><w:ilvl w:val="0"/><w:numId w:val="2"/></w:numPr></w:pPr><w:r><w:rPr/><w:t xml:space="preserve">研究结果的客观性和可信度</w:t></w:r></w:p><w:p><w:pPr><w:pStyle w:val="Heading1"/></w:pPr><w:bookmarkStart w:id="6" w:name="_Toc6"/><w:r><w:t>Report location:</w:t></w:r><w:bookmarkEnd w:id="6"/></w:p><w:p><w:hyperlink r:id="rId8" w:history="1"><w:r><w:rPr><w:color w:val="2980b9"/><w:u w:val="single"/></w:rPr><w:t xml:space="preserve">https://www.fullpicture.app/item/7ac1d3a3e01d36c6921d3e02cd8b5b12</w:t></w:r></w:hyperlink></w:p><w:sectPr><w:footerReference w:type="default" r:id="rId9"/><w:pgSz w:orient="portrait" w:w="11905.511811023622" w:h="16837.79527559055"/><w:pgMar w:top="1440" w:right="1440" w:bottom="1440" w:left="1440" w:header="720" w:footer="720" w:gutter="0"/><w:cols w:num="1" w:space="720"/></w:sectPr></w:body></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pBdr>
        <w:top w:val="single" w:sz="4"/>
      </w:pBdr>
    </w:pPr>
    <w:r>
      <w:rPr/>
      <w:t xml:space="preserve">Report created by </w:t>
    </w:r>
    <w:hyperlink r:id="rId1" w:history="1">
      <w:r>
        <w:rPr>
          <w:color w:val="2980b9"/>
          <w:u w:val="single"/>
        </w:rPr>
        <w:t xml:space="preserve">FullPicture.app</w:t>
      </w:r>
    </w:hyperlink>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2">
    <w:nsid w:val="3865AB7D"/>
    <w:multiLevelType w:val="hybridMultilevel"/>
    <w:lvl w:ilvl="0">
      <w:start w:val="1"/>
      <w:numFmt w:val="bullet"/>
      <w:suff w:val="tab"/>
      <w:lvlText w:val=""/>
      <w:lvlJc w:val="left"/>
      <w:pPr>
        <w:tabs>
          <w:tab w:val="num" w:pos="720"/>
        </w:tabs>
        <w:ind w:left="720" w:hanging="360"/>
      </w:pPr>
      <w:rPr>
        <w:rFonts w:ascii="Symbol" w:hAnsi="Symbol" w:cs="Symbol" w:hint="default"/>
      </w:rPr>
    </w:lvl>
    <w:lvl w:ilvl="1">
      <w:start w:val="1"/>
      <w:numFmt w:val="bullet"/>
      <w:suff w:val="tab"/>
      <w:lvlText w:val="o"/>
      <w:lvlJc w:val="left"/>
      <w:pPr>
        <w:tabs>
          <w:tab w:val="num" w:pos="1440"/>
        </w:tabs>
        <w:ind w:left="1440" w:hanging="360"/>
      </w:pPr>
      <w:rPr>
        <w:rFonts w:ascii="Courier New" w:hAnsi="Courier New" w:cs="Courier New" w:hint="default"/>
      </w:rPr>
    </w:lvl>
    <w:lvl w:ilvl="2">
      <w:start w:val="1"/>
      <w:numFmt w:val="bullet"/>
      <w:suff w:val="tab"/>
      <w:lvlText w:val=""/>
      <w:lvlJc w:val="left"/>
      <w:pPr>
        <w:tabs>
          <w:tab w:val="num" w:pos="2160"/>
        </w:tabs>
        <w:ind w:left="2160" w:hanging="360"/>
      </w:pPr>
      <w:rPr>
        <w:rFonts w:ascii="Wingdings" w:hAnsi="Wingdings" w:cs="Wingdings" w:hint="default"/>
      </w:rPr>
    </w:lvl>
    <w:lvl w:ilvl="3">
      <w:start w:val="1"/>
      <w:numFmt w:val="bullet"/>
      <w:suff w:val="tab"/>
      <w:lvlText w:val=""/>
      <w:lvlJc w:val="left"/>
      <w:pPr>
        <w:tabs>
          <w:tab w:val="num" w:pos="2880"/>
        </w:tabs>
        <w:ind w:left="2880" w:hanging="360"/>
      </w:pPr>
      <w:rPr>
        <w:rFonts w:ascii="Symbol" w:hAnsi="Symbol" w:cs="Symbol" w:hint="default"/>
      </w:rPr>
    </w:lvl>
    <w:lvl w:ilvl="4">
      <w:start w:val="1"/>
      <w:numFmt w:val="bullet"/>
      <w:suff w:val="tab"/>
      <w:lvlText w:val="o"/>
      <w:lvlJc w:val="left"/>
      <w:pPr>
        <w:tabs>
          <w:tab w:val="num" w:pos="3600"/>
        </w:tabs>
        <w:ind w:left="3600" w:hanging="360"/>
      </w:pPr>
      <w:rPr>
        <w:rFonts w:ascii="Courier New" w:hAnsi="Courier New" w:cs="Courier New" w:hint="default"/>
      </w:rPr>
    </w:lvl>
    <w:lvl w:ilvl="5">
      <w:start w:val="1"/>
      <w:numFmt w:val="bullet"/>
      <w:suff w:val="tab"/>
      <w:lvlText w:val=""/>
      <w:lvlJc w:val="left"/>
      <w:pPr>
        <w:tabs>
          <w:tab w:val="num" w:pos="4320"/>
        </w:tabs>
        <w:ind w:left="4320" w:hanging="360"/>
      </w:pPr>
      <w:rPr>
        <w:rFonts w:ascii="Wingdings" w:hAnsi="Wingdings" w:cs="Wingdings" w:hint="default"/>
      </w:rPr>
    </w:lvl>
    <w:lvl w:ilvl="6">
      <w:start w:val="1"/>
      <w:numFmt w:val="bullet"/>
      <w:suff w:val="tab"/>
      <w:lvlText w:val=""/>
      <w:lvlJc w:val="left"/>
      <w:pPr>
        <w:tabs>
          <w:tab w:val="num" w:pos="5040"/>
        </w:tabs>
        <w:ind w:left="5040" w:hanging="360"/>
      </w:pPr>
      <w:rPr>
        <w:rFonts w:ascii="Symbol" w:hAnsi="Symbol" w:cs="Symbol" w:hint="default"/>
      </w:rPr>
    </w:lvl>
    <w:lvl w:ilvl="7">
      <w:start w:val="1"/>
      <w:numFmt w:val="bullet"/>
      <w:suff w:val="tab"/>
      <w:lvlText w:val="o"/>
      <w:lvlJc w:val="left"/>
      <w:pPr>
        <w:tabs>
          <w:tab w:val="num" w:pos="5760"/>
        </w:tabs>
        <w:ind w:left="5760" w:hanging="360"/>
      </w:pPr>
      <w:rPr>
        <w:rFonts w:ascii="Courier New" w:hAnsi="Courier New" w:cs="Courier New" w:hint="default"/>
      </w:rPr>
    </w:lvl>
    <w:lvl w:ilvl="8">
      <w:start w:val="1"/>
      <w:numFmt w:val="bullet"/>
      <w:suff w:val="tab"/>
      <w:lvlText w:val=""/>
      <w:lvlJc w:val="left"/>
      <w:pPr>
        <w:tabs>
          <w:tab w:val="num" w:pos="6480"/>
        </w:tabs>
        <w:ind w:left="6480" w:hanging="360"/>
      </w:pPr>
      <w:rPr>
        <w:rFonts w:ascii="Wingdings" w:hAnsi="Wingdings" w:cs="Wingdings" w:hint="default"/>
      </w:rPr>
    </w:lvl>
  </w:abstractNum>
  <w:num w:numId="2">
    <w:abstractNumId w:val="2"/>
  </w:num>
</w:numbering>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Calibri" w:hAnsi="Calibri" w:eastAsia="Calibri" w:cs="Calibri"/>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rPr>
      <w:sz w:val="26"/>
      <w:szCs w:val="2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rdvpn.zufe.edu.cn/https/77726476706e69737468656265737421fbf952d2243e635930068cb8/kcms2/article/abstract?v=3uoqIhG8C44YLTlOAiTRKibYlV5Vjs7i0-kJR0HYBJ80QN9L51zrPzmmiOsTO7an4TuCLOWzPSi9kcs8Mr_xHUhahxWjH6ek&amp;uniplatform=NZKPT" TargetMode="External"/><Relationship Id="rId8" Type="http://schemas.openxmlformats.org/officeDocument/2006/relationships/hyperlink" Target="https://www.fullpicture.app/item/7ac1d3a3e01d36c6921d3e02cd8b5b12" TargetMode="Externa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hyperlink" Target="https://www.fullpicture.ap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2024-01-19T22:09:38+01:00</dcterms:created>
  <dcterms:modified xsi:type="dcterms:W3CDTF">2024-01-19T22:09:38+01:00</dcterms:modified>
</cp:coreProperties>
</file>

<file path=docProps/custom.xml><?xml version="1.0" encoding="utf-8"?>
<Properties xmlns="http://schemas.openxmlformats.org/officeDocument/2006/custom-properties" xmlns:vt="http://schemas.openxmlformats.org/officeDocument/2006/docPropsVTypes"/>
</file>