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internet and possibilities for counter accounts: some reflections | Emerald Insight</w:t>
      </w:r>
      <w:br/>
      <w:hyperlink r:id="rId7" w:history="1">
        <w:r>
          <w:rPr>
            <w:color w:val="2980b9"/>
            <w:u w:val="single"/>
          </w:rPr>
          <w:t xml:space="preserve">https://www-emerald-com.ezproxy.lib.gla.ac.uk/insight/content/doi/10.1108/09513570610689686/full/html</w:t>
        </w:r>
      </w:hyperlink>
    </w:p>
    <w:p>
      <w:pPr>
        <w:pStyle w:val="Heading1"/>
      </w:pPr>
      <w:bookmarkStart w:id="2" w:name="_Toc2"/>
      <w:r>
        <w:t>Article summary:</w:t>
      </w:r>
      <w:bookmarkEnd w:id="2"/>
    </w:p>
    <w:p>
      <w:pPr>
        <w:jc w:val="both"/>
      </w:pPr>
      <w:r>
        <w:rPr/>
        <w:t xml:space="preserve">1. 本文旨在探讨互联网的解放潜力，并评论Gallhofer等人和Paisey和Paisey的论文。</w:t>
      </w:r>
    </w:p>
    <w:p>
      <w:pPr>
        <w:jc w:val="both"/>
      </w:pPr>
      <w:r>
        <w:rPr/>
        <w:t xml:space="preserve">2. 互联网只是另一种技术，其使用和影响取决于社会和政治背景。它不是万能药，而是一种有潜力促进变革的交流工具。是否实现这一点取决于通过它传播的反对意见和批评如何与人们的常识联系起来。</w:t>
      </w:r>
    </w:p>
    <w:p>
      <w:pPr>
        <w:jc w:val="both"/>
      </w:pPr>
      <w:r>
        <w:rPr/>
        <w:t xml:space="preserve">3. 本文鼓励参与科技，并说服读者对当代社会问题进行反对意见和批评。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internet and possibilities for counter accounts: some reflections" by Prem Sikka provides a thoughtful analysis of the potential of the internet to facilitate change through counter accounts and critiques. However, there are some limitations to the author's arguments.</w:t>
      </w:r>
    </w:p>
    <w:p>
      <w:pPr>
        <w:jc w:val="both"/>
      </w:pPr>
      <w:r>
        <w:rPr/>
        <w:t xml:space="preserve"/>
      </w:r>
    </w:p>
    <w:p>
      <w:pPr>
        <w:jc w:val="both"/>
      </w:pPr>
      <w:r>
        <w:rPr/>
        <w:t xml:space="preserve">Firstly, the paper locates the internet within the politics of neoliberalism without providing sufficient evidence or explanation. This may lead to a biased view that overlooks other political and economic contexts that shape the use and influence of the internet.</w:t>
      </w:r>
    </w:p>
    <w:p>
      <w:pPr>
        <w:jc w:val="both"/>
      </w:pPr>
      <w:r>
        <w:rPr/>
        <w:t xml:space="preserve"/>
      </w:r>
    </w:p>
    <w:p>
      <w:pPr>
        <w:jc w:val="both"/>
      </w:pPr>
      <w:r>
        <w:rPr/>
        <w:t xml:space="preserve">Secondly, while acknowledging that the internet is not a panacea, the author presents it as a communicative device with great potential for change. However, this overlooks the fact that online communication can also reinforce existing power structures and inequalities.</w:t>
      </w:r>
    </w:p>
    <w:p>
      <w:pPr>
        <w:jc w:val="both"/>
      </w:pPr>
      <w:r>
        <w:rPr/>
        <w:t xml:space="preserve"/>
      </w:r>
    </w:p>
    <w:p>
      <w:pPr>
        <w:jc w:val="both"/>
      </w:pPr>
      <w:r>
        <w:rPr/>
        <w:t xml:space="preserve">Thirdly, while encouraging engagement with technology and development of counter accounts, the paper does not explore potential risks or negative consequences associated with online activism. For example, online harassment or surveillance can have serious implications for individuals who engage in dissenting activities.</w:t>
      </w:r>
    </w:p>
    <w:p>
      <w:pPr>
        <w:jc w:val="both"/>
      </w:pPr>
      <w:r>
        <w:rPr/>
        <w:t xml:space="preserve"/>
      </w:r>
    </w:p>
    <w:p>
      <w:pPr>
        <w:jc w:val="both"/>
      </w:pPr>
      <w:r>
        <w:rPr/>
        <w:t xml:space="preserve">Finally, while emphasizing the importance of connecting counter accounts with common sense, the paper does not address how common sense itself is shaped by dominant discourses and ideologies. This raises questions about how effective counter accounts can be in challenging deeply ingrained beliefs and values.</w:t>
      </w:r>
    </w:p>
    <w:p>
      <w:pPr>
        <w:jc w:val="both"/>
      </w:pPr>
      <w:r>
        <w:rPr/>
        <w:t xml:space="preserve"/>
      </w:r>
    </w:p>
    <w:p>
      <w:pPr>
        <w:jc w:val="both"/>
      </w:pPr>
      <w:r>
        <w:rPr/>
        <w:t xml:space="preserve">Overall, while offering valuable insights into the potential of online activism, this paper could benefit from a more nuanced analysis that takes into account broader social and political contexts as well as potential risks associated with online dissent.</w:t>
      </w:r>
    </w:p>
    <w:p>
      <w:pPr>
        <w:pStyle w:val="Heading1"/>
      </w:pPr>
      <w:bookmarkStart w:id="5" w:name="_Toc5"/>
      <w:r>
        <w:t>Topics for further research:</w:t>
      </w:r>
      <w:bookmarkEnd w:id="5"/>
    </w:p>
    <w:p>
      <w:pPr>
        <w:spacing w:after="0"/>
        <w:numPr>
          <w:ilvl w:val="0"/>
          <w:numId w:val="2"/>
        </w:numPr>
      </w:pPr>
      <w:r>
        <w:rPr/>
        <w:t xml:space="preserve">Political and economic contexts shaping the internet
</w:t>
      </w:r>
    </w:p>
    <w:p>
      <w:pPr>
        <w:spacing w:after="0"/>
        <w:numPr>
          <w:ilvl w:val="0"/>
          <w:numId w:val="2"/>
        </w:numPr>
      </w:pPr>
      <w:r>
        <w:rPr/>
        <w:t xml:space="preserve">Potential for online communication to reinforce power structures and inequalities
</w:t>
      </w:r>
    </w:p>
    <w:p>
      <w:pPr>
        <w:spacing w:after="0"/>
        <w:numPr>
          <w:ilvl w:val="0"/>
          <w:numId w:val="2"/>
        </w:numPr>
      </w:pPr>
      <w:r>
        <w:rPr/>
        <w:t xml:space="preserve">Risks and negative consequences of online activism
</w:t>
      </w:r>
    </w:p>
    <w:p>
      <w:pPr>
        <w:spacing w:after="0"/>
        <w:numPr>
          <w:ilvl w:val="0"/>
          <w:numId w:val="2"/>
        </w:numPr>
      </w:pPr>
      <w:r>
        <w:rPr/>
        <w:t xml:space="preserve">How common sense is shaped by dominant discourses and ideologies
</w:t>
      </w:r>
    </w:p>
    <w:p>
      <w:pPr>
        <w:spacing w:after="0"/>
        <w:numPr>
          <w:ilvl w:val="0"/>
          <w:numId w:val="2"/>
        </w:numPr>
      </w:pPr>
      <w:r>
        <w:rPr/>
        <w:t xml:space="preserve">Need for a more nuanced analysis of online activism
</w:t>
      </w:r>
    </w:p>
    <w:p>
      <w:pPr>
        <w:numPr>
          <w:ilvl w:val="0"/>
          <w:numId w:val="2"/>
        </w:numPr>
      </w:pPr>
      <w:r>
        <w:rPr/>
        <w:t xml:space="preserve">Broader social and political contexts of online dissent</w:t>
      </w:r>
    </w:p>
    <w:p>
      <w:pPr>
        <w:pStyle w:val="Heading1"/>
      </w:pPr>
      <w:bookmarkStart w:id="6" w:name="_Toc6"/>
      <w:r>
        <w:t>Report location:</w:t>
      </w:r>
      <w:bookmarkEnd w:id="6"/>
    </w:p>
    <w:p>
      <w:hyperlink r:id="rId8" w:history="1">
        <w:r>
          <w:rPr>
            <w:color w:val="2980b9"/>
            <w:u w:val="single"/>
          </w:rPr>
          <w:t xml:space="preserve">https://www.fullpicture.app/item/7aa2994cd44e04123c18c578d8549b95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CE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09513570610689686/full/html" TargetMode="External"/><Relationship Id="rId8" Type="http://schemas.openxmlformats.org/officeDocument/2006/relationships/hyperlink" Target="https://www.fullpicture.app/item/7aa2994cd44e04123c18c578d8549b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2023-05-16T14:06:21+02:00</dcterms:created>
  <dcterms:modified xsi:type="dcterms:W3CDTF">2023-05-16T14:06:21+02:00</dcterms:modified>
</cp:coreProperties>
</file>

<file path=docProps/custom.xml><?xml version="1.0" encoding="utf-8"?>
<Properties xmlns="http://schemas.openxmlformats.org/officeDocument/2006/custom-properties" xmlns:vt="http://schemas.openxmlformats.org/officeDocument/2006/docPropsVTypes"/>
</file>