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Stakeholder participation in the ISSB’s standard-setting process: the consultations on the first exposure drafts on sustainability reporting | Emerald Insight</w:t>
      </w:r>
      <w:br/>
      <w:hyperlink r:id="rId7" w:history="1">
        <w:r>
          <w:rPr>
            <w:color w:val="2980b9"/>
            <w:u w:val="single"/>
          </w:rPr>
          <w:t xml:space="preserve">https://www.emerald.com/insight/content/doi/10.1108/SAMPJ-05-2023-0314/full/html</w:t>
        </w:r>
      </w:hyperlink>
    </w:p>
    <w:p>
      <w:pPr>
        <w:pStyle w:val="Heading1"/>
      </w:pPr>
      <w:bookmarkStart w:id="2" w:name="_Toc2"/>
      <w:r>
        <w:t>Article summary:</w:t>
      </w:r>
      <w:bookmarkEnd w:id="2"/>
    </w:p>
    <w:p>
      <w:pPr>
        <w:jc w:val="both"/>
      </w:pPr>
      <w:r>
        <w:rPr/>
        <w:t xml:space="preserve">1. The study analyzes stakeholder participation in the ISSB's standard-setting process by examining comment letters submitted in response to the first two exposure drafts on sustainability reporting published in 2022.</w:t>
      </w:r>
    </w:p>
    <w:p>
      <w:pPr>
        <w:jc w:val="both"/>
      </w:pPr>
      <w:r>
        <w:rPr/>
        <w:t xml:space="preserve"/>
      </w:r>
    </w:p>
    <w:p>
      <w:pPr>
        <w:jc w:val="both"/>
      </w:pPr>
      <w:r>
        <w:rPr/>
        <w:t xml:space="preserve">2. Preparers and users of sustainability reports are identified as the largest participating stakeholder groups, with the accounting/sustainability profession showing high intensity of participation.</w:t>
      </w:r>
    </w:p>
    <w:p>
      <w:pPr>
        <w:jc w:val="both"/>
      </w:pPr>
      <w:r>
        <w:rPr/>
        <w:t xml:space="preserve"/>
      </w:r>
    </w:p>
    <w:p>
      <w:pPr>
        <w:jc w:val="both"/>
      </w:pPr>
      <w:r>
        <w:rPr/>
        <w:t xml:space="preserve">3. Stakeholder participation varies across different groups and jurisdictional origins, with stakeholders from countries with private financial accounting standard-setting systems participating more frequently and intensively than others.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"Stakeholder participation in the ISSB’s standard-setting process: the consultations on the first exposure drafts on sustainability reporting" provides an analysis of stakeholder participation in the International Sustainability Standards Board's (ISSB) standard-setting process. The study focuses on comment letters submitted in response to the ISSB's first two exposure drafts in 2022.</w:t>
      </w:r>
    </w:p>
    <w:p>
      <w:pPr>
        <w:jc w:val="both"/>
      </w:pPr>
      <w:r>
        <w:rPr/>
        <w:t xml:space="preserve"/>
      </w:r>
    </w:p>
    <w:p>
      <w:pPr>
        <w:jc w:val="both"/>
      </w:pPr>
      <w:r>
        <w:rPr/>
        <w:t xml:space="preserve">One potential bias in this article is the focus on formal stakeholder participation, which may not fully capture all perspectives and voices involved in the standard-setting process. Informal stakeholders or those who do not submit comment letters are not accounted for in this analysis, leading to a potentially skewed representation of stakeholder engagement.</w:t>
      </w:r>
    </w:p>
    <w:p>
      <w:pPr>
        <w:jc w:val="both"/>
      </w:pPr>
      <w:r>
        <w:rPr/>
        <w:t xml:space="preserve"/>
      </w:r>
    </w:p>
    <w:p>
      <w:pPr>
        <w:jc w:val="both"/>
      </w:pPr>
      <w:r>
        <w:rPr/>
        <w:t xml:space="preserve">The article highlights that preparers and users of sustainability reports are the largest participating stakeholder groups, with high intensity from the accounting/sustainability profession. However, there is limited participation from investors and developing countries, raising concerns about inclusivity and representation in the standard-setting process. This bias towards certain stakeholder groups could impact the legitimacy and effectiveness of the standards developed by the ISSB.</w:t>
      </w:r>
    </w:p>
    <w:p>
      <w:pPr>
        <w:jc w:val="both"/>
      </w:pPr>
      <w:r>
        <w:rPr/>
        <w:t xml:space="preserve"/>
      </w:r>
    </w:p>
    <w:p>
      <w:pPr>
        <w:jc w:val="both"/>
      </w:pPr>
      <w:r>
        <w:rPr/>
        <w:t xml:space="preserve">Furthermore, while the study identifies factors such as country-level economic wealth and sustainability performance influencing stakeholder participation, it does not delve into potential reasons for these disparities. There may be underlying structural barriers or power dynamics that limit certain stakeholders' ability to engage effectively with standard-setting processes.</w:t>
      </w:r>
    </w:p>
    <w:p>
      <w:pPr>
        <w:jc w:val="both"/>
      </w:pPr>
      <w:r>
        <w:rPr/>
        <w:t xml:space="preserve"/>
      </w:r>
    </w:p>
    <w:p>
      <w:pPr>
        <w:jc w:val="both"/>
      </w:pPr>
      <w:r>
        <w:rPr/>
        <w:t xml:space="preserve">Additionally, the article lacks exploration of potential counterarguments or alternative perspectives on stakeholder participation. It would be beneficial to consider differing viewpoints on how stakeholders should be involved in standard-setting and whether current practices adequately address diverse interests.</w:t>
      </w:r>
    </w:p>
    <w:p>
      <w:pPr>
        <w:jc w:val="both"/>
      </w:pPr>
      <w:r>
        <w:rPr/>
        <w:t xml:space="preserve"/>
      </w:r>
    </w:p>
    <w:p>
      <w:pPr>
        <w:jc w:val="both"/>
      </w:pPr>
      <w:r>
        <w:rPr/>
        <w:t xml:space="preserve">Overall, while the article provides valuable insights into stakeholder participation in sustainability reporting standard-setting, it is important to critically assess its limitations and biases. By acknowledging these shortcomings and striving for more inclusive and transparent engagement processes, standard-setting bodies like the ISSB can enhance their credibility and relevance in addressing global sustainability challenges.</w:t>
      </w:r>
    </w:p>
    <w:p>
      <w:pPr>
        <w:pStyle w:val="Heading1"/>
      </w:pPr>
      <w:bookmarkStart w:id="5" w:name="_Toc5"/>
      <w:r>
        <w:t>Topics for further research:</w:t>
      </w:r>
      <w:bookmarkEnd w:id="5"/>
    </w:p>
    <w:p>
      <w:pPr>
        <w:spacing w:after="0"/>
        <w:numPr>
          <w:ilvl w:val="0"/>
          <w:numId w:val="2"/>
        </w:numPr>
      </w:pPr>
      <w:r>
        <w:rPr/>
        <w:t xml:space="preserve">Stakeholder engagement in sustainability reporting beyond formal comment letters
</w:t>
      </w:r>
    </w:p>
    <w:p>
      <w:pPr>
        <w:spacing w:after="0"/>
        <w:numPr>
          <w:ilvl w:val="0"/>
          <w:numId w:val="2"/>
        </w:numPr>
      </w:pPr>
      <w:r>
        <w:rPr/>
        <w:t xml:space="preserve">Inclusivity and diversity in standard-setting processes for sustainability reporting
</w:t>
      </w:r>
    </w:p>
    <w:p>
      <w:pPr>
        <w:spacing w:after="0"/>
        <w:numPr>
          <w:ilvl w:val="0"/>
          <w:numId w:val="2"/>
        </w:numPr>
      </w:pPr>
      <w:r>
        <w:rPr/>
        <w:t xml:space="preserve">Barriers to stakeholder participation in international standard-setting bodies
</w:t>
      </w:r>
    </w:p>
    <w:p>
      <w:pPr>
        <w:spacing w:after="0"/>
        <w:numPr>
          <w:ilvl w:val="0"/>
          <w:numId w:val="2"/>
        </w:numPr>
      </w:pPr>
      <w:r>
        <w:rPr/>
        <w:t xml:space="preserve">Power dynamics and stakeholder influence in sustainability reporting standards development
</w:t>
      </w:r>
    </w:p>
    <w:p>
      <w:pPr>
        <w:spacing w:after="0"/>
        <w:numPr>
          <w:ilvl w:val="0"/>
          <w:numId w:val="2"/>
        </w:numPr>
      </w:pPr>
      <w:r>
        <w:rPr/>
        <w:t xml:space="preserve">Alternative models of stakeholder engagement in sustainability reporting standard-setting
</w:t>
      </w:r>
    </w:p>
    <w:p>
      <w:pPr>
        <w:numPr>
          <w:ilvl w:val="0"/>
          <w:numId w:val="2"/>
        </w:numPr>
      </w:pPr>
      <w:r>
        <w:rPr/>
        <w:t xml:space="preserve">Best practices for enhancing stakeholder participation in sustainability reporting standard-setting processes</w:t>
      </w:r>
    </w:p>
    <w:p>
      <w:pPr>
        <w:pStyle w:val="Heading1"/>
      </w:pPr>
      <w:bookmarkStart w:id="6" w:name="_Toc6"/>
      <w:r>
        <w:t>Report location:</w:t>
      </w:r>
      <w:bookmarkEnd w:id="6"/>
    </w:p>
    <w:p>
      <w:hyperlink r:id="rId8" w:history="1">
        <w:r>
          <w:rPr>
            <w:color w:val="2980b9"/>
            <w:u w:val="single"/>
          </w:rPr>
          <w:t xml:space="preserve">https://www.fullpicture.app/item/7a0d604e8de8c1490431bce16831b2f9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17D6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SAMPJ-05-2023-0314/full/html" TargetMode="External"/><Relationship Id="rId8" Type="http://schemas.openxmlformats.org/officeDocument/2006/relationships/hyperlink" Target="https://www.fullpicture.app/item/7a0d604e8de8c1490431bce16831b2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2024-04-25T17:53:45+02:00</dcterms:created>
  <dcterms:modified xsi:type="dcterms:W3CDTF">2024-04-25T17:53:45+02:00</dcterms:modified>
</cp:coreProperties>
</file>

<file path=docProps/custom.xml><?xml version="1.0" encoding="utf-8"?>
<Properties xmlns="http://schemas.openxmlformats.org/officeDocument/2006/custom-properties" xmlns:vt="http://schemas.openxmlformats.org/officeDocument/2006/docPropsVTypes"/>
</file>