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Employment regulation and worker-carers: reproducing gender inequality in the domestic and market spheres? - RMIT University</w:t>
      </w:r>
      <w:br/>
      <w:hyperlink r:id="rId7" w:history="1">
        <w:r>
          <w:rPr>
            <w:color w:val="2980b9"/>
            <w:u w:val="single"/>
          </w:rPr>
          <w:t xml:space="preserve">https://researchrepository.rmit.edu.au/esploro/outputs/bookChapter/Employment-regulation-and-worker-carers-reproducing-gender-inequality-in-the-domestic-and-market-spheres/9921858750401341</w:t>
        </w:r>
      </w:hyperlink>
    </w:p>
    <w:p>
      <w:pPr>
        <w:pStyle w:val="Heading1"/>
      </w:pPr>
      <w:bookmarkStart w:id="2" w:name="_Toc2"/>
      <w:r>
        <w:t>Article summary:</w:t>
      </w:r>
      <w:bookmarkEnd w:id="2"/>
    </w:p>
    <w:p>
      <w:pPr>
        <w:jc w:val="both"/>
      </w:pPr>
      <w:r>
        <w:rPr/>
        <w:t xml:space="preserve">1. 本文探讨了就业规定如何影响工人-照顾者的性别平等问题，特别是在家庭和市场领域中。作者指出，这些规定并没有推动性别平等，而是适应了工作场所和规定的基本不变要求。</w:t>
      </w:r>
    </w:p>
    <w:p>
      <w:pPr>
        <w:jc w:val="both"/>
      </w:pPr>
      <w:r>
        <w:rPr/>
        <w:t xml:space="preserve">2. 文章以澳大利亚为例，分析了无薪产假、个人/照顾者假期和有限的请求灵活工作安排权等调整措施对性别平等的影响。这些机构仍然围绕着“理想”的男性工人组织，并强化了工作场所和家庭中的性别分工。</w:t>
      </w:r>
    </w:p>
    <w:p>
      <w:pPr>
        <w:jc w:val="both"/>
      </w:pPr>
      <w:r>
        <w:rPr/>
        <w:t xml:space="preserve">3. 文章还提到有薪护理工作如何受就业规定影响，进一步强调了就业规定如何重现非标准工作的性别低估，并塑造女性的结果。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该文章探讨了就业规定和工人照顾者之间的关系，以及这种关系是否会在家庭和市场领域中再现性别不平等。然而，该文章存在一些潜在的偏见和局限性。</w:t>
      </w:r>
    </w:p>
    <w:p>
      <w:pPr>
        <w:jc w:val="both"/>
      </w:pPr>
      <w:r>
        <w:rPr/>
        <w:t xml:space="preserve"/>
      </w:r>
    </w:p>
    <w:p>
      <w:pPr>
        <w:jc w:val="both"/>
      </w:pPr>
      <w:r>
        <w:rPr/>
        <w:t xml:space="preserve">首先，该文章只关注了澳大利亚的案例，没有考虑其他国家或地区的情况。这可能导致作者未能全面了解全球范围内就业规定和工人照顾者之间的关系。</w:t>
      </w:r>
    </w:p>
    <w:p>
      <w:pPr>
        <w:jc w:val="both"/>
      </w:pPr>
      <w:r>
        <w:rPr/>
        <w:t xml:space="preserve"/>
      </w:r>
    </w:p>
    <w:p>
      <w:pPr>
        <w:jc w:val="both"/>
      </w:pPr>
      <w:r>
        <w:rPr/>
        <w:t xml:space="preserve">其次，该文章似乎认为就业规定本身是问题所在，而忽略了其他因素对性别不平等的影响。例如，文化观念、社会期望和教育机会都可能对女性在职场上遭受歧视产生影响。</w:t>
      </w:r>
    </w:p>
    <w:p>
      <w:pPr>
        <w:jc w:val="both"/>
      </w:pPr>
      <w:r>
        <w:rPr/>
        <w:t xml:space="preserve"/>
      </w:r>
    </w:p>
    <w:p>
      <w:pPr>
        <w:jc w:val="both"/>
      </w:pPr>
      <w:r>
        <w:rPr/>
        <w:t xml:space="preserve">此外，该文章提出了一些主张却缺乏充分证据支持。例如，作者声称这些规定并没有促进性别平等，但未提供足够的数据来支持这一观点。</w:t>
      </w:r>
    </w:p>
    <w:p>
      <w:pPr>
        <w:jc w:val="both"/>
      </w:pPr>
      <w:r>
        <w:rPr/>
        <w:t xml:space="preserve"/>
      </w:r>
    </w:p>
    <w:p>
      <w:pPr>
        <w:jc w:val="both"/>
      </w:pPr>
      <w:r>
        <w:rPr/>
        <w:t xml:space="preserve">最后，在探讨风险时，该文章似乎只关注了女性面临的风险，并未考虑男性也可能面临类似问题。这可能导致读者对问题产生片面理解。</w:t>
      </w:r>
    </w:p>
    <w:p>
      <w:pPr>
        <w:jc w:val="both"/>
      </w:pPr>
      <w:r>
        <w:rPr/>
        <w:t xml:space="preserve"/>
      </w:r>
    </w:p>
    <w:p>
      <w:pPr>
        <w:jc w:val="both"/>
      </w:pPr>
      <w:r>
        <w:rPr/>
        <w:t xml:space="preserve">综上所述，尽管该文章提出了一些有价值的观点，但其存在一些偏见和局限性。为了更全面地了解就业规定和工人照顾者之间的关系，需要考虑更广泛的因素，并提供充分的证据支持。</w:t>
      </w:r>
    </w:p>
    <w:p>
      <w:pPr>
        <w:pStyle w:val="Heading1"/>
      </w:pPr>
      <w:bookmarkStart w:id="5" w:name="_Toc5"/>
      <w:r>
        <w:t>Topics for further research:</w:t>
      </w:r>
      <w:bookmarkEnd w:id="5"/>
    </w:p>
    <w:p>
      <w:pPr>
        <w:spacing w:after="0"/>
        <w:numPr>
          <w:ilvl w:val="0"/>
          <w:numId w:val="2"/>
        </w:numPr>
      </w:pPr>
      <w:r>
        <w:rPr/>
        <w:t xml:space="preserve">International perspectives on employment regulations and caregiver workers
</w:t>
      </w:r>
    </w:p>
    <w:p>
      <w:pPr>
        <w:spacing w:after="0"/>
        <w:numPr>
          <w:ilvl w:val="0"/>
          <w:numId w:val="2"/>
        </w:numPr>
      </w:pPr>
      <w:r>
        <w:rPr/>
        <w:t xml:space="preserve">The impact of cultural norms</w:t>
      </w:r>
    </w:p>
    <w:p>
      <w:pPr>
        <w:spacing w:after="0"/>
        <w:numPr>
          <w:ilvl w:val="0"/>
          <w:numId w:val="2"/>
        </w:numPr>
      </w:pPr>
      <w:r>
        <w:rPr/>
        <w:t xml:space="preserve">social expectations</w:t>
      </w:r>
    </w:p>
    <w:p>
      <w:pPr>
        <w:spacing w:after="0"/>
        <w:numPr>
          <w:ilvl w:val="0"/>
          <w:numId w:val="2"/>
        </w:numPr>
      </w:pPr>
      <w:r>
        <w:rPr/>
        <w:t xml:space="preserve">and education on gender inequality in the workplace
</w:t>
      </w:r>
    </w:p>
    <w:p>
      <w:pPr>
        <w:spacing w:after="0"/>
        <w:numPr>
          <w:ilvl w:val="0"/>
          <w:numId w:val="2"/>
        </w:numPr>
      </w:pPr>
      <w:r>
        <w:rPr/>
        <w:t xml:space="preserve">Evidence supporting the claim that employment regulations do not promote gender equality
</w:t>
      </w:r>
    </w:p>
    <w:p>
      <w:pPr>
        <w:spacing w:after="0"/>
        <w:numPr>
          <w:ilvl w:val="0"/>
          <w:numId w:val="2"/>
        </w:numPr>
      </w:pPr>
      <w:r>
        <w:rPr/>
        <w:t xml:space="preserve">The potential risks faced by male caregivers in the workplace
</w:t>
      </w:r>
    </w:p>
    <w:p>
      <w:pPr>
        <w:spacing w:after="0"/>
        <w:numPr>
          <w:ilvl w:val="0"/>
          <w:numId w:val="2"/>
        </w:numPr>
      </w:pPr>
      <w:r>
        <w:rPr/>
        <w:t xml:space="preserve">The need to consider a broader range of factors when examining the relationship between employment regulations and caregiver workers
</w:t>
      </w:r>
    </w:p>
    <w:p>
      <w:pPr>
        <w:numPr>
          <w:ilvl w:val="0"/>
          <w:numId w:val="2"/>
        </w:numPr>
      </w:pPr>
      <w:r>
        <w:rPr/>
        <w:t xml:space="preserve">The importance of providing sufficient evidence to support claims made in the article.</w:t>
      </w:r>
    </w:p>
    <w:p>
      <w:pPr>
        <w:pStyle w:val="Heading1"/>
      </w:pPr>
      <w:bookmarkStart w:id="6" w:name="_Toc6"/>
      <w:r>
        <w:t>Report location:</w:t>
      </w:r>
      <w:bookmarkEnd w:id="6"/>
    </w:p>
    <w:p>
      <w:hyperlink r:id="rId8" w:history="1">
        <w:r>
          <w:rPr>
            <w:color w:val="2980b9"/>
            <w:u w:val="single"/>
          </w:rPr>
          <w:t xml:space="preserve">https://www.fullpicture.app/item/78543161afcca2147e0d5ccaf77951a7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A8B9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repository.rmit.edu.au/esploro/outputs/bookChapter/Employment-regulation-and-worker-carers-reproducing-gender-inequality-in-the-domestic-and-market-spheres/9921858750401341" TargetMode="External"/><Relationship Id="rId8" Type="http://schemas.openxmlformats.org/officeDocument/2006/relationships/hyperlink" Target="https://www.fullpicture.app/item/78543161afcca2147e0d5ccaf77951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2023-11-30T23:28:44+01:00</dcterms:created>
  <dcterms:modified xsi:type="dcterms:W3CDTF">2023-11-30T23:28:44+01:00</dcterms:modified>
</cp:coreProperties>
</file>

<file path=docProps/custom.xml><?xml version="1.0" encoding="utf-8"?>
<Properties xmlns="http://schemas.openxmlformats.org/officeDocument/2006/custom-properties" xmlns:vt="http://schemas.openxmlformats.org/officeDocument/2006/docPropsVTypes"/>
</file>