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用于预测无抗凝连续肾脏替代治疗患者足够过滤器寿命的模型的开发和外部验证 - PMC</w:t>
      </w:r>
      <w:br/>
      <w:hyperlink r:id="rId7" w:history="1">
        <w:r>
          <w:rPr>
            <w:color w:val="2980b9"/>
            <w:u w:val="single"/>
          </w:rPr>
          <w:t xml:space="preserve">https://www.ncbi.nlm.nih.gov/pmc/articles/PMC9501746/</w:t>
        </w:r>
      </w:hyperlink>
    </w:p>
    <w:p>
      <w:pPr>
        <w:pStyle w:val="Heading1"/>
      </w:pPr>
      <w:bookmarkStart w:id="2" w:name="_Toc2"/>
      <w:r>
        <w:t>Article summary:</w:t>
      </w:r>
      <w:bookmarkEnd w:id="2"/>
    </w:p>
    <w:p>
      <w:pPr>
        <w:jc w:val="both"/>
      </w:pPr>
      <w:r>
        <w:rPr/>
        <w:t xml:space="preserve">1. 无抗凝连续肾脏替代治疗（CRRT）患者的足够过滤器寿命预测模型的开发和外部验证。</w:t>
      </w:r>
    </w:p>
    <w:p>
      <w:pPr>
        <w:jc w:val="both"/>
      </w:pPr>
      <w:r>
        <w:rPr/>
        <w:t xml:space="preserve">2. 研究发现13个变量是预测足够过滤器寿命的独立预测因子，包括体温、平均动脉压、凝血活酶时间等。</w:t>
      </w:r>
    </w:p>
    <w:p>
      <w:pPr>
        <w:jc w:val="both"/>
      </w:pPr>
      <w:r>
        <w:rPr/>
        <w:t xml:space="preserve">3. 使用预测模型而不仅仅依靠凝血参数评估可以帮助识别接受无抗凝CRRT时过滤器寿命达到24小时以上的患者。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潜在偏见及其来源：文章没有明确提到作者的潜在利益冲突或研究资助来源。这可能引发读者对研究结果的可靠性和客观性产生质疑。</w:t>
      </w:r>
    </w:p>
    <w:p>
      <w:pPr>
        <w:jc w:val="both"/>
      </w:pPr>
      <w:r>
        <w:rPr/>
        <w:t xml:space="preserve"/>
      </w:r>
    </w:p>
    <w:p>
      <w:pPr>
        <w:jc w:val="both"/>
      </w:pPr>
      <w:r>
        <w:rPr/>
        <w:t xml:space="preserve">2. 片面报道：文章只关注了无抗凝连续肾脏替代治疗患者足够过滤器寿命的预测模型开发和验证，而没有提及其他可能影响过滤器寿命的因素，如治疗方法、患者特征等。这种片面报道可能导致读者对整个问题的理解不完整。</w:t>
      </w:r>
    </w:p>
    <w:p>
      <w:pPr>
        <w:jc w:val="both"/>
      </w:pPr>
      <w:r>
        <w:rPr/>
        <w:t xml:space="preserve"/>
      </w:r>
    </w:p>
    <w:p>
      <w:pPr>
        <w:jc w:val="both"/>
      </w:pPr>
      <w:r>
        <w:rPr/>
        <w:t xml:space="preserve">3. 缺失的考虑点：文章没有讨论无抗凝连续肾脏替代治疗对患者其他方面（如生存率、康复情况）的影响。这些因素也应该被考虑在内，以便全面评估该治疗方法的效果。</w:t>
      </w:r>
    </w:p>
    <w:p>
      <w:pPr>
        <w:jc w:val="both"/>
      </w:pPr>
      <w:r>
        <w:rPr/>
        <w:t xml:space="preserve"/>
      </w:r>
    </w:p>
    <w:p>
      <w:pPr>
        <w:jc w:val="both"/>
      </w:pPr>
      <w:r>
        <w:rPr/>
        <w:t xml:space="preserve">4. 所提出主张的缺失证据：尽管文章声称开发了一个预测模型来预测过滤器寿命，但并未提供足够的数据或统计分析来支持该主张。读者无法确定该模型的准确性和可靠性。</w:t>
      </w:r>
    </w:p>
    <w:p>
      <w:pPr>
        <w:jc w:val="both"/>
      </w:pPr>
      <w:r>
        <w:rPr/>
        <w:t xml:space="preserve"/>
      </w:r>
    </w:p>
    <w:p>
      <w:pPr>
        <w:jc w:val="both"/>
      </w:pPr>
      <w:r>
        <w:rPr/>
        <w:t xml:space="preserve">5. 未探索的反驳：文章没有提及可能存在的其他观点或研究结果，也没有对这些观点进行反驳。这种选择性报道可能导致读者对问题的理解有所偏颇。</w:t>
      </w:r>
    </w:p>
    <w:p>
      <w:pPr>
        <w:jc w:val="both"/>
      </w:pPr>
      <w:r>
        <w:rPr/>
        <w:t xml:space="preserve"/>
      </w:r>
    </w:p>
    <w:p>
      <w:pPr>
        <w:jc w:val="both"/>
      </w:pPr>
      <w:r>
        <w:rPr/>
        <w:t xml:space="preserve">6. 宣传内容：文章中使用了一些宣传性语言，如“有助于识别”、“最常用的肾脏支持方式”。这种宣传性语言可能会影响读者对研究结果的客观评估。</w:t>
      </w:r>
    </w:p>
    <w:p>
      <w:pPr>
        <w:jc w:val="both"/>
      </w:pPr>
      <w:r>
        <w:rPr/>
        <w:t xml:space="preserve"/>
      </w:r>
    </w:p>
    <w:p>
      <w:pPr>
        <w:jc w:val="both"/>
      </w:pPr>
      <w:r>
        <w:rPr/>
        <w:t xml:space="preserve">综上所述，上述文章在提供预测无抗凝连续肾脏替代治疗患者足够过滤器寿命模型方面存在一些问题。缺乏透明度、片面报道、缺失证据和未探索反驳等因素可能影响读者对该研究结果的理解和接受程度。因此，读者应保持批判思维，并进一步考虑其他相关研究和证据来全面评估该主张的有效性和可靠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其他可能影响过滤器寿命的因素
</w:t>
      </w:r>
    </w:p>
    <w:p>
      <w:pPr>
        <w:spacing w:after="0"/>
        <w:numPr>
          <w:ilvl w:val="0"/>
          <w:numId w:val="2"/>
        </w:numPr>
      </w:pPr>
      <w:r>
        <w:rPr/>
        <w:t xml:space="preserve">无抗凝连续肾脏替代治疗对患者其他方面的影响
</w:t>
      </w:r>
    </w:p>
    <w:p>
      <w:pPr>
        <w:spacing w:after="0"/>
        <w:numPr>
          <w:ilvl w:val="0"/>
          <w:numId w:val="2"/>
        </w:numPr>
      </w:pPr>
      <w:r>
        <w:rPr/>
        <w:t xml:space="preserve">预测模型的准确性和可靠性
</w:t>
      </w:r>
    </w:p>
    <w:p>
      <w:pPr>
        <w:spacing w:after="0"/>
        <w:numPr>
          <w:ilvl w:val="0"/>
          <w:numId w:val="2"/>
        </w:numPr>
      </w:pPr>
      <w:r>
        <w:rPr/>
        <w:t xml:space="preserve">其他观点或研究结果的存在和反驳
</w:t>
      </w:r>
    </w:p>
    <w:p>
      <w:pPr>
        <w:numPr>
          <w:ilvl w:val="0"/>
          <w:numId w:val="2"/>
        </w:numPr>
      </w:pPr>
      <w:r>
        <w:rPr/>
        <w:t xml:space="preserve">宣传性语言对研究结果的影响</w:t>
      </w:r>
    </w:p>
    <w:p>
      <w:pPr>
        <w:pStyle w:val="Heading1"/>
      </w:pPr>
      <w:bookmarkStart w:id="6" w:name="_Toc6"/>
      <w:r>
        <w:t>Report location:</w:t>
      </w:r>
      <w:bookmarkEnd w:id="6"/>
    </w:p>
    <w:p>
      <w:hyperlink r:id="rId8" w:history="1">
        <w:r>
          <w:rPr>
            <w:color w:val="2980b9"/>
            <w:u w:val="single"/>
          </w:rPr>
          <w:t xml:space="preserve">https://www.fullpicture.app/item/775be98640fb4c57b13a3b0258742db4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BEA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01746/" TargetMode="External"/><Relationship Id="rId8" Type="http://schemas.openxmlformats.org/officeDocument/2006/relationships/hyperlink" Target="https://www.fullpicture.app/item/775be98640fb4c57b13a3b0258742d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2024-04-19T02:26:10+02:00</dcterms:created>
  <dcterms:modified xsi:type="dcterms:W3CDTF">2024-04-19T02:26:10+02:00</dcterms:modified>
</cp:coreProperties>
</file>

<file path=docProps/custom.xml><?xml version="1.0" encoding="utf-8"?>
<Properties xmlns="http://schemas.openxmlformats.org/officeDocument/2006/custom-properties" xmlns:vt="http://schemas.openxmlformats.org/officeDocument/2006/docPropsVTypes"/>
</file>