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Australian Food and Grocery Council Initiatives – AANA</w:t>
      </w:r>
      <w:br/>
      <w:hyperlink r:id="rId7" w:history="1">
        <w:r>
          <w:rPr>
            <w:color w:val="2980b9"/>
            <w:u w:val="single"/>
          </w:rPr>
          <w:t xml:space="preserve">https://aana.com.au/self-regulation/codes-guidelines/australian-food-and-grocery-council-initiatives/</w:t>
        </w:r>
      </w:hyperlink>
    </w:p>
    <w:p>
      <w:pPr>
        <w:pStyle w:val="Heading1"/>
      </w:pPr>
      <w:bookmarkStart w:id="2" w:name="_Toc2"/>
      <w:r>
        <w:t>Article summary:</w:t>
      </w:r>
      <w:bookmarkEnd w:id="2"/>
    </w:p>
    <w:p>
      <w:pPr>
        <w:jc w:val="both"/>
      </w:pPr>
      <w:r>
        <w:rPr/>
        <w:t xml:space="preserve">1. The Australian Food and Grocery Council (AFGC) has initiatives to reduce advertising and marketing of unhealthy food and drinks to children, and promote healthy eating and lifestyles.</w:t>
      </w:r>
    </w:p>
    <w:p>
      <w:pPr>
        <w:jc w:val="both"/>
      </w:pPr>
      <w:r>
        <w:rPr/>
        <w:t xml:space="preserve">2. Advertisers who sign up to the AFGC initiatives commit to only advertising healthier choices to children, not paying for product placement in TV programs or interactive games aimed at children unless the product is a healthier choice, and not advertising in Australian schools unless asked to by those schools.</w:t>
      </w:r>
    </w:p>
    <w:p>
      <w:pPr>
        <w:jc w:val="both"/>
      </w:pPr>
      <w:r>
        <w:rPr/>
        <w:t xml:space="preserve">3. Complaints about advertising content can be lodged with Ad Standards, an independent advertising complaints adjudicator, and each signatory to the AFGC initiatives is required to develop Company Action Plans communicating how they will meet the Core Principles of the Responsible Children’s Marketing Initiative or Quick Service Restaurant Initiative.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作为一篇新闻报道，这篇文章提供了有关澳大利亚食品和杂货委员会（AFGC）倡议的信息。然而，它存在一些偏见和不足之处。</w:t>
      </w:r>
    </w:p>
    <w:p>
      <w:pPr>
        <w:jc w:val="both"/>
      </w:pPr>
      <w:r>
        <w:rPr/>
        <w:t xml:space="preserve"/>
      </w:r>
    </w:p>
    <w:p>
      <w:pPr>
        <w:jc w:val="both"/>
      </w:pPr>
      <w:r>
        <w:rPr/>
        <w:t xml:space="preserve">首先，文章没有提到任何可能的反对意见或批评。这使得读者难以了解这些倡议是否受到广泛支持，并且是否存在任何争议或质疑。此外，文章似乎默认所有公司都应该遵守这些倡议，而没有探讨可能存在的挑战或困难。</w:t>
      </w:r>
    </w:p>
    <w:p>
      <w:pPr>
        <w:jc w:val="both"/>
      </w:pPr>
      <w:r>
        <w:rPr/>
        <w:t xml:space="preserve"/>
      </w:r>
    </w:p>
    <w:p>
      <w:pPr>
        <w:jc w:val="both"/>
      </w:pPr>
      <w:r>
        <w:rPr/>
        <w:t xml:space="preserve">其次，文章没有提供足够的证据来支持这些倡议的有效性。虽然它声称这些倡议旨在减少儿童面对不健康食品和饮料的广告和营销，但并没有提供任何数据来证明这种方法是否真正有效。此外，文章也没有探讨其他可能的方法来促进健康饮食和生活方式。</w:t>
      </w:r>
    </w:p>
    <w:p>
      <w:pPr>
        <w:jc w:val="both"/>
      </w:pPr>
      <w:r>
        <w:rPr/>
        <w:t xml:space="preserve"/>
      </w:r>
    </w:p>
    <w:p>
      <w:pPr>
        <w:jc w:val="both"/>
      </w:pPr>
      <w:r>
        <w:rPr/>
        <w:t xml:space="preserve">第三，文章似乎忽略了某些公司可能会绕过这些规定的可能性。尽管签署了这些倡议并制定了行动计划，但仍有可能出现违规行为。因此，在报道中应该更加强调监督和执行机制。</w:t>
      </w:r>
    </w:p>
    <w:p>
      <w:pPr>
        <w:jc w:val="both"/>
      </w:pPr>
      <w:r>
        <w:rPr/>
        <w:t xml:space="preserve"/>
      </w:r>
    </w:p>
    <w:p>
      <w:pPr>
        <w:jc w:val="both"/>
      </w:pPr>
      <w:r>
        <w:rPr/>
        <w:t xml:space="preserve">最后，文章缺乏平衡性，没有提供反对意见或其他观点。这使得读者难以了解这些倡议的优缺点，并且可能会导致偏见和误解。</w:t>
      </w:r>
    </w:p>
    <w:p>
      <w:pPr>
        <w:jc w:val="both"/>
      </w:pPr>
      <w:r>
        <w:rPr/>
        <w:t xml:space="preserve"/>
      </w:r>
    </w:p>
    <w:p>
      <w:pPr>
        <w:jc w:val="both"/>
      </w:pPr>
      <w:r>
        <w:rPr/>
        <w:t xml:space="preserve">总之，虽然这篇文章提供了有关澳大利亚食品和杂货委员会倡议的信息，但它存在一些偏见和不足之处。报道应该更加平衡和客观，探讨可能存在的挑战和困难，并提供更多证据来支持这些倡议的有效性。</w:t>
      </w:r>
    </w:p>
    <w:p>
      <w:pPr>
        <w:pStyle w:val="Heading1"/>
      </w:pPr>
      <w:bookmarkStart w:id="5" w:name="_Toc5"/>
      <w:r>
        <w:t>Topics for further research:</w:t>
      </w:r>
      <w:bookmarkEnd w:id="5"/>
    </w:p>
    <w:p>
      <w:pPr>
        <w:spacing w:after="0"/>
        <w:numPr>
          <w:ilvl w:val="0"/>
          <w:numId w:val="2"/>
        </w:numPr>
      </w:pPr>
      <w:r>
        <w:rPr/>
        <w:t xml:space="preserve">Possible opposition or criticism
</w:t>
      </w:r>
    </w:p>
    <w:p>
      <w:pPr>
        <w:spacing w:after="0"/>
        <w:numPr>
          <w:ilvl w:val="0"/>
          <w:numId w:val="2"/>
        </w:numPr>
      </w:pPr>
      <w:r>
        <w:rPr/>
        <w:t xml:space="preserve">Evidence to support effectiveness
</w:t>
      </w:r>
    </w:p>
    <w:p>
      <w:pPr>
        <w:spacing w:after="0"/>
        <w:numPr>
          <w:ilvl w:val="0"/>
          <w:numId w:val="2"/>
        </w:numPr>
      </w:pPr>
      <w:r>
        <w:rPr/>
        <w:t xml:space="preserve">Other possible methods to promote healthy eating and lifestyle
</w:t>
      </w:r>
    </w:p>
    <w:p>
      <w:pPr>
        <w:spacing w:after="0"/>
        <w:numPr>
          <w:ilvl w:val="0"/>
          <w:numId w:val="2"/>
        </w:numPr>
      </w:pPr>
      <w:r>
        <w:rPr/>
        <w:t xml:space="preserve">Possibility of companies circumventing regulations
</w:t>
      </w:r>
    </w:p>
    <w:p>
      <w:pPr>
        <w:spacing w:after="0"/>
        <w:numPr>
          <w:ilvl w:val="0"/>
          <w:numId w:val="2"/>
        </w:numPr>
      </w:pPr>
      <w:r>
        <w:rPr/>
        <w:t xml:space="preserve">Emphasis on monitoring and enforcement mechanisms
</w:t>
      </w:r>
    </w:p>
    <w:p>
      <w:pPr>
        <w:numPr>
          <w:ilvl w:val="0"/>
          <w:numId w:val="2"/>
        </w:numPr>
      </w:pPr>
      <w:r>
        <w:rPr/>
        <w:t xml:space="preserve">Lack of balance and alternative perspectives</w:t>
      </w:r>
    </w:p>
    <w:p>
      <w:pPr>
        <w:pStyle w:val="Heading1"/>
      </w:pPr>
      <w:bookmarkStart w:id="6" w:name="_Toc6"/>
      <w:r>
        <w:t>Report location:</w:t>
      </w:r>
      <w:bookmarkEnd w:id="6"/>
    </w:p>
    <w:p>
      <w:hyperlink r:id="rId8" w:history="1">
        <w:r>
          <w:rPr>
            <w:color w:val="2980b9"/>
            <w:u w:val="single"/>
          </w:rPr>
          <w:t xml:space="preserve">https://www.fullpicture.app/item/737f12c79cb6a34e459d7279db960d2c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805407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ana.com.au/self-regulation/codes-guidelines/australian-food-and-grocery-council-initiatives/" TargetMode="External"/><Relationship Id="rId8" Type="http://schemas.openxmlformats.org/officeDocument/2006/relationships/hyperlink" Target="https://www.fullpicture.app/item/737f12c79cb6a34e459d7279db960d2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2023-12-22T01:13:07+01:00</dcterms:created>
  <dcterms:modified xsi:type="dcterms:W3CDTF">2023-12-22T01:13:07+01:00</dcterms:modified>
</cp:coreProperties>
</file>

<file path=docProps/custom.xml><?xml version="1.0" encoding="utf-8"?>
<Properties xmlns="http://schemas.openxmlformats.org/officeDocument/2006/custom-properties" xmlns:vt="http://schemas.openxmlformats.org/officeDocument/2006/docPropsVTypes"/>
</file>