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uncertainty-aware AGV assignment algorithm for automated container terminals - ScienceDirect</w:t>
      </w:r>
      <w:br/>
      <w:hyperlink r:id="rId7" w:history="1">
        <w:r>
          <w:rPr>
            <w:color w:val="2980b9"/>
            <w:u w:val="single"/>
          </w:rPr>
          <w:t xml:space="preserve">http://www-sciencedirect-com-s.svpn.dlmu.edu.cn:8118/science/article/pii/S1366554509001215?via%3Dihub=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Container shipment is a major development in logistics, with containers accounting for 60% of deep sea cargo and shipped at rates of about 400 million TEU per annum.</w:t>
      </w:r>
    </w:p>
    <w:p>
      <w:pPr>
        <w:jc w:val="both"/>
      </w:pPr>
      <w:r>
        <w:rPr/>
        <w:t xml:space="preserve">2. Automated guided vehicles (AGVs) are used in container terminals for horizontal transport, but their stochastic nature and interactions with other equipment units pose challenges for control methods.</w:t>
      </w:r>
    </w:p>
    <w:p>
      <w:pPr>
        <w:jc w:val="both"/>
      </w:pPr>
      <w:r>
        <w:rPr/>
        <w:t xml:space="preserve">3. Previous research has focused on AGV routing and scheduling, but limited work has been done on handling uncertainty in the control of automated container terminals (ACTs). An uncertainty-aware AGV assignment algorithm is needed to fully take advantage of precise scheduling and control methods.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作为一篇关于自动化集装箱码头的文章，该文提供了一些有价值的信息和观点。然而，在对其进行批判性分析时，我们也可以发现一些问题。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首先，该文可能存在潜在的偏见。例如，在介绍自动化码头时，作者只提到了欧洲的例子，并没有涉及其他地区或国家。这可能会导致读者认为欧洲是自动化码头领域的领导者，而其他地区则相对滞后。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其次，该文可能存在片面报道。例如，在讨论AGV技术时，作者只提到了其不足之处，并没有探讨其优点和应用场景。这可能会给读者留下AGV技术完全无用或不可靠的印象。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此外，该文中也存在缺失的考虑点。例如，在讨论自动化任务计划时，作者只提到了不确定性带来的挑战，并没有探讨如何解决这些挑战或采取哪些策略来应对不确定性。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最后，该文中也存在宣传内容和偏袒现象。例如，在介绍AGV技术时，作者引用了一些负面评价和困难经历，并没有平等地呈现另一方面的观点或成功案例。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总之，尽管该文提供了一些有价值的信息和观点，但仍需要更加客观、全面地呈现事实，并避免潜在的偏见、片面报道、缺失考虑点、宣传内容和偏袒现象等问题。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regions or countries with automated container terminals
</w:t>
      </w:r>
    </w:p>
    <w:p>
      <w:pPr>
        <w:spacing w:after="0"/>
        <w:numPr>
          <w:ilvl w:val="0"/>
          <w:numId w:val="2"/>
        </w:numPr>
      </w:pPr>
      <w:r>
        <w:rPr/>
        <w:t xml:space="preserve">Advantages and applications of AGV technology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addressing uncertainty in automated task planning
</w:t>
      </w:r>
    </w:p>
    <w:p>
      <w:pPr>
        <w:spacing w:after="0"/>
        <w:numPr>
          <w:ilvl w:val="0"/>
          <w:numId w:val="2"/>
        </w:numPr>
      </w:pPr>
      <w:r>
        <w:rPr/>
        <w:t xml:space="preserve">Positive perspectives and successful cases of AGV technology
</w:t>
      </w:r>
    </w:p>
    <w:p>
      <w:pPr>
        <w:spacing w:after="0"/>
        <w:numPr>
          <w:ilvl w:val="0"/>
          <w:numId w:val="2"/>
        </w:numPr>
      </w:pPr>
      <w:r>
        <w:rPr/>
        <w:t xml:space="preserve">Objectivity and comprehensiveness in presenting facts
</w:t>
      </w:r>
    </w:p>
    <w:p>
      <w:pPr>
        <w:spacing w:after="0"/>
        <w:numPr>
          <w:ilvl w:val="0"/>
          <w:numId w:val="2"/>
        </w:numPr>
      </w:pPr>
      <w:r>
        <w:rPr/>
        <w:t xml:space="preserve">Avoiding bias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</w:t>
      </w:r>
    </w:p>
    <w:p>
      <w:pPr>
        <w:spacing w:after="0"/>
        <w:numPr>
          <w:ilvl w:val="0"/>
          <w:numId w:val="2"/>
        </w:numPr>
      </w:pPr>
      <w:r>
        <w:rPr/>
        <w:t xml:space="preserve">promotional content</w:t>
      </w:r>
    </w:p>
    <w:p>
      <w:pPr>
        <w:numPr>
          <w:ilvl w:val="0"/>
          <w:numId w:val="2"/>
        </w:numPr>
      </w:pPr>
      <w:r>
        <w:rPr/>
        <w:t xml:space="preserve">and favoritism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https://www.fullpicture.app/item/734d32c1722c130c5c07df54cb297969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F68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-sciencedirect-com-s.svpn.dlmu.edu.cn:8118/science/article/pii/S1366554509001215?via%3Dihub=" TargetMode="External"/><Relationship Id="rId8" Type="http://schemas.openxmlformats.org/officeDocument/2006/relationships/hyperlink" Target="https://www.fullpicture.app/item/734d32c1722c130c5c07df54cb2979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2024-01-13T06:24:52+01:00</dcterms:created>
  <dcterms:modified xsi:type="dcterms:W3CDTF">2024-01-13T06:24:52+01:00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