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Does Georgia's New Voting Law SB 202 Do? | Georgia Public Broadcasting</w:t>
      </w:r>
      <w:br/>
      <w:hyperlink r:id="rId7" w:history="1">
        <w:r>
          <w:rPr>
            <w:color w:val="2980b9"/>
            <w:u w:val="single"/>
          </w:rPr>
          <w:t xml:space="preserve">https://www.gpb.org/news/2021/03/27/what-does-georgias-new-voting-law-sb-202-do</w:t>
        </w:r>
      </w:hyperlink>
    </w:p>
    <w:p>
      <w:pPr>
        <w:pStyle w:val="Heading1"/>
      </w:pPr>
      <w:bookmarkStart w:id="2" w:name="_Toc2"/>
      <w:r>
        <w:t>Article summary:</w:t>
      </w:r>
      <w:bookmarkEnd w:id="2"/>
    </w:p>
    <w:p>
      <w:pPr>
        <w:jc w:val="both"/>
      </w:pPr>
      <w:r>
        <w:rPr/>
        <w:t xml:space="preserve">1. Georgia's newly signed voting law, SB 202, makes several controversial changes to how elections are run in the state, including adjustments to absentee voting, early voting, and vote counting.</w:t>
      </w:r>
    </w:p>
    <w:p>
      <w:pPr>
        <w:jc w:val="both"/>
      </w:pPr>
      <w:r>
        <w:rPr/>
        <w:t xml:space="preserve">2. Changes to absentee voting include shorter timeframes for requesting mail-in ballots, stricter ID requirements for requesting and returning ballots, and limitations on unsolicited applications sent by state and third-party groups.</w:t>
      </w:r>
    </w:p>
    <w:p>
      <w:pPr>
        <w:jc w:val="both"/>
      </w:pPr>
      <w:r>
        <w:rPr/>
        <w:t xml:space="preserve">3. The law expands early voting access for most counties, adds restrictions on providing food and water to voters in line, allows for earlier processing of absentee ballots, and gives the State Election Board more power to intervene in underperforming county elections boards.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"What Does Georgia's New Voting Law SB 202 Do?" from Georgia Public Broadcasting provides a detailed breakdown of the changes made to voting laws in Georgia through Senate Bill 202. While the article attempts to provide an extensive analysis of the new law, it is important to critically examine its content for potential biases, one-sided reporting, unsupported claims, missing points of consideration, missing evidence for claims made, unexplored counterarguments, promotional content, partiality, and whether possible risks are noted.</w:t>
      </w:r>
    </w:p>
    <w:p>
      <w:pPr>
        <w:jc w:val="both"/>
      </w:pPr>
      <w:r>
        <w:rPr/>
        <w:t xml:space="preserve"/>
      </w:r>
    </w:p>
    <w:p>
      <w:pPr>
        <w:jc w:val="both"/>
      </w:pPr>
      <w:r>
        <w:rPr/>
        <w:t xml:space="preserve">One potential bias in the article is evident in its framing of the new law as controversial. The article states that the law makes "a number of controversial changes" without providing a balanced perspective on why these changes are considered controversial. This lack of context may lead readers to assume that all changes made by SB 202 are inherently negative or problematic.</w:t>
      </w:r>
    </w:p>
    <w:p>
      <w:pPr>
        <w:jc w:val="both"/>
      </w:pPr>
      <w:r>
        <w:rPr/>
        <w:t xml:space="preserve"/>
      </w:r>
    </w:p>
    <w:p>
      <w:pPr>
        <w:jc w:val="both"/>
      </w:pPr>
      <w:r>
        <w:rPr/>
        <w:t xml:space="preserve">Additionally, the article highlights adjustments welcomed by local elections officials but does not provide equal attention to concerns raised by critics of the law. This one-sided reporting can create an impression that there is widespread support for the changes while downplaying opposition or criticism.</w:t>
      </w:r>
    </w:p>
    <w:p>
      <w:pPr>
        <w:jc w:val="both"/>
      </w:pPr>
      <w:r>
        <w:rPr/>
        <w:t xml:space="preserve"/>
      </w:r>
    </w:p>
    <w:p>
      <w:pPr>
        <w:jc w:val="both"/>
      </w:pPr>
      <w:r>
        <w:rPr/>
        <w:t xml:space="preserve">The article also includes several unsupported claims and missing evidence. For example, it states that certain changes to absentee voting will cut down on rejected ballots due to tight turnaround times without providing any data or evidence to support this claim. Similarly, it mentions complaints about delays in releasing final vote totals during the 2020 election but does not provide specific examples or evidence to substantiate these claims.</w:t>
      </w:r>
    </w:p>
    <w:p>
      <w:pPr>
        <w:jc w:val="both"/>
      </w:pPr>
      <w:r>
        <w:rPr/>
        <w:t xml:space="preserve"/>
      </w:r>
    </w:p>
    <w:p>
      <w:pPr>
        <w:jc w:val="both"/>
      </w:pPr>
      <w:r>
        <w:rPr/>
        <w:t xml:space="preserve">Furthermore, the article fails to explore counterarguments or alternative perspectives on some of the changes made by SB 202. For instance, it briefly mentions restrictions on handing out food and water to voters in line without discussing arguments against this provision or potential impacts on voter access.</w:t>
      </w:r>
    </w:p>
    <w:p>
      <w:pPr>
        <w:jc w:val="both"/>
      </w:pPr>
      <w:r>
        <w:rPr/>
        <w:t xml:space="preserve"/>
      </w:r>
    </w:p>
    <w:p>
      <w:pPr>
        <w:jc w:val="both"/>
      </w:pPr>
      <w:r>
        <w:rPr/>
        <w:t xml:space="preserve">There are also instances where important points of consideration are missing from the article. For example, while it mentions that counties must publicly report daily how many people have voted in person and via absentee voting, it does not discuss the potential implications of this requirement or how it may impact voter privacy.</w:t>
      </w:r>
    </w:p>
    <w:p>
      <w:pPr>
        <w:jc w:val="both"/>
      </w:pPr>
      <w:r>
        <w:rPr/>
        <w:t xml:space="preserve"/>
      </w:r>
    </w:p>
    <w:p>
      <w:pPr>
        <w:jc w:val="both"/>
      </w:pPr>
      <w:r>
        <w:rPr/>
        <w:t xml:space="preserve">In terms of promotional content, the article includes links to the full text of SB 202 and encourages readers to read the law themselves. While providing access to primary sources is important, the article could have provided a more balanced analysis by including perspectives from experts or organizations that have criticized or supported the law.</w:t>
      </w:r>
    </w:p>
    <w:p>
      <w:pPr>
        <w:jc w:val="both"/>
      </w:pPr>
      <w:r>
        <w:rPr/>
        <w:t xml:space="preserve"/>
      </w:r>
    </w:p>
    <w:p>
      <w:pPr>
        <w:jc w:val="both"/>
      </w:pPr>
      <w:r>
        <w:rPr/>
        <w:t xml:space="preserve">Overall, the article presents a detailed breakdown of the changes made by Georgia's new voting law but falls short in providing a balanced analysis. It exhibits potential biases through its framing, one-sided reporting, unsupported claims, missing evidence, unexplored counterarguments, and promotional content. Readers should approach this article with caution and seek additional sources to gain a comprehensive understanding of SB 202 and its implications.</w:t>
      </w:r>
    </w:p>
    <w:p>
      <w:pPr>
        <w:pStyle w:val="Heading1"/>
      </w:pPr>
      <w:bookmarkStart w:id="5" w:name="_Toc5"/>
      <w:r>
        <w:t>Topics for further research:</w:t>
      </w:r>
      <w:bookmarkEnd w:id="5"/>
    </w:p>
    <w:p>
      <w:pPr>
        <w:spacing w:after="0"/>
        <w:numPr>
          <w:ilvl w:val="0"/>
          <w:numId w:val="2"/>
        </w:numPr>
      </w:pPr>
      <w:r>
        <w:rPr/>
        <w:t xml:space="preserve">Arguments against restrictions on handing out food and water to voters in line in Georgia's new voting law SB 202
</w:t>
      </w:r>
    </w:p>
    <w:p>
      <w:pPr>
        <w:spacing w:after="0"/>
        <w:numPr>
          <w:ilvl w:val="0"/>
          <w:numId w:val="2"/>
        </w:numPr>
      </w:pPr>
      <w:r>
        <w:rPr/>
        <w:t xml:space="preserve">Implications of requiring counties to publicly report daily voter turnout in Georgia's new voting law SB 202
</w:t>
      </w:r>
    </w:p>
    <w:p>
      <w:pPr>
        <w:spacing w:after="0"/>
        <w:numPr>
          <w:ilvl w:val="0"/>
          <w:numId w:val="2"/>
        </w:numPr>
      </w:pPr>
      <w:r>
        <w:rPr/>
        <w:t xml:space="preserve">Criticisms of the changes made to absentee voting in Georgia's new voting law SB 202
</w:t>
      </w:r>
    </w:p>
    <w:p>
      <w:pPr>
        <w:spacing w:after="0"/>
        <w:numPr>
          <w:ilvl w:val="0"/>
          <w:numId w:val="2"/>
        </w:numPr>
      </w:pPr>
      <w:r>
        <w:rPr/>
        <w:t xml:space="preserve">Evidence on the impact of tight turnaround times on rejected absentee ballots in Georgia's new voting law SB 202
</w:t>
      </w:r>
    </w:p>
    <w:p>
      <w:pPr>
        <w:spacing w:after="0"/>
        <w:numPr>
          <w:ilvl w:val="0"/>
          <w:numId w:val="2"/>
        </w:numPr>
      </w:pPr>
      <w:r>
        <w:rPr/>
        <w:t xml:space="preserve">Perspectives from experts or organizations that have criticized Georgia's new voting law SB 202
</w:t>
      </w:r>
    </w:p>
    <w:p>
      <w:pPr>
        <w:numPr>
          <w:ilvl w:val="0"/>
          <w:numId w:val="2"/>
        </w:numPr>
      </w:pPr>
      <w:r>
        <w:rPr/>
        <w:t xml:space="preserve">Analysis of potential risks and drawbacks of Georgia's new voting law SB 202</w:t>
      </w:r>
    </w:p>
    <w:p>
      <w:pPr>
        <w:pStyle w:val="Heading1"/>
      </w:pPr>
      <w:bookmarkStart w:id="6" w:name="_Toc6"/>
      <w:r>
        <w:t>Report location:</w:t>
      </w:r>
      <w:bookmarkEnd w:id="6"/>
    </w:p>
    <w:p>
      <w:hyperlink r:id="rId8" w:history="1">
        <w:r>
          <w:rPr>
            <w:color w:val="2980b9"/>
            <w:u w:val="single"/>
          </w:rPr>
          <w:t xml:space="preserve">https://www.fullpicture.app/item/71f9af1096d4a8533ecf58af131ba35b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EBC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pb.org/news/2021/03/27/what-does-georgias-new-voting-law-sb-202-do" TargetMode="External"/><Relationship Id="rId8" Type="http://schemas.openxmlformats.org/officeDocument/2006/relationships/hyperlink" Target="https://www.fullpicture.app/item/71f9af1096d4a8533ecf58af131ba3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2024-02-02T04:54:06+01:00</dcterms:created>
  <dcterms:modified xsi:type="dcterms:W3CDTF">2024-02-02T04:54:06+01:00</dcterms:modified>
</cp:coreProperties>
</file>

<file path=docProps/custom.xml><?xml version="1.0" encoding="utf-8"?>
<Properties xmlns="http://schemas.openxmlformats.org/officeDocument/2006/custom-properties" xmlns:vt="http://schemas.openxmlformats.org/officeDocument/2006/docPropsVTypes"/>
</file>