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Bases - Les nouveaux outils de dataviz pour explorer la littérature scientifique - Bases &amp; Netsources</w:t>
      </w:r>
      <w:br/>
      <w:hyperlink r:id="rId7" w:history="1">
        <w:r>
          <w:rPr>
            <w:color w:val="2980b9"/>
            <w:u w:val="single"/>
          </w:rPr>
          <w:t xml:space="preserve">https://www.bases-netsources.com/articles-de-bases/les-nouveaux-outils-de-dataviz-pour-explorer-la-litterature-scientifique</w:t>
        </w:r>
      </w:hyperlink>
    </w:p>
    <w:p>
      <w:pPr>
        <w:pStyle w:val="Heading1"/>
      </w:pPr>
      <w:bookmarkStart w:id="2" w:name="_Toc2"/>
      <w:r>
        <w:t>Article summary:</w:t>
      </w:r>
      <w:bookmarkEnd w:id="2"/>
    </w:p>
    <w:p>
      <w:pPr>
        <w:jc w:val="both"/>
      </w:pPr>
      <w:r>
        <w:rPr/>
        <w:t xml:space="preserve">1. Une nouvelle génération d'outils de dataviz pour explorer la littérature scientifique est apparue ces deux dernières années.</w:t>
      </w:r>
    </w:p>
    <w:p>
      <w:pPr>
        <w:jc w:val="both"/>
      </w:pPr>
      <w:r>
        <w:rPr/>
        <w:t xml:space="preserve">2. Ces outils sont portés par l'amplification du mouvement de l'open access et des open citations dans l'univers académique.</w:t>
      </w:r>
    </w:p>
    <w:p>
      <w:pPr>
        <w:jc w:val="both"/>
      </w:pPr>
      <w:r>
        <w:rPr/>
        <w:t xml:space="preserve">3. Les modèles économiques de ces outils varient, certains étant gratuits et d'autres fonctionnant sur des modèles freemiums.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analyse des nouveaux outils de dataviz pour explorer la littérature scientifique. Il commence par expliquer que les outils visuels ont eu du mal à survivre, contrairement aux outils textuels qui ont une place importante dans le paysage de l'IST. Ensuite, il présente une nouvelle génération d'outils visuels d'exploration des réseaux de citations, portée par le mouvement de l'open access et open citations dans le monde académique.</w:t>
      </w:r>
    </w:p>
    <w:p>
      <w:pPr>
        <w:jc w:val="both"/>
      </w:pPr>
      <w:r>
        <w:rPr/>
        <w:t xml:space="preserve"/>
      </w:r>
    </w:p>
    <w:p>
      <w:pPr>
        <w:jc w:val="both"/>
      </w:pPr>
      <w:r>
        <w:rPr/>
        <w:t xml:space="preserve">Le texte fournit un panorama des différents outils et de leurs spécificités, mais il manque des informations sur leur fiabilité et leur précision. De plus, l'article ne mentionne pas les limites potentielles de ces outils, telles que la possibilité d'exclure certains articles ou auteurs en raison de biais algorithmiques.</w:t>
      </w:r>
    </w:p>
    <w:p>
      <w:pPr>
        <w:jc w:val="both"/>
      </w:pPr>
      <w:r>
        <w:rPr/>
        <w:t xml:space="preserve"/>
      </w:r>
    </w:p>
    <w:p>
      <w:pPr>
        <w:jc w:val="both"/>
      </w:pPr>
      <w:r>
        <w:rPr/>
        <w:t xml:space="preserve">Il est également important de noter que certains des outils présentés sont des projets personnels réalisés sur le temps libre et peuvent donc manquer de ressources pour maintenir leur fonctionnement à long terme. Les modèles freemiums peuvent également poser des problèmes pour les utilisateurs qui ne souhaitent pas payer pour accéder à certaines fonctionnalités.</w:t>
      </w:r>
    </w:p>
    <w:p>
      <w:pPr>
        <w:jc w:val="both"/>
      </w:pPr>
      <w:r>
        <w:rPr/>
        <w:t xml:space="preserve"/>
      </w:r>
    </w:p>
    <w:p>
      <w:pPr>
        <w:jc w:val="both"/>
      </w:pPr>
      <w:r>
        <w:rPr/>
        <w:t xml:space="preserve">Enfin, l'article peut être considéré comme promotionnel car il ne mentionne pas les alternatives existantes ou les critiques possibles des outils présentés. Il est donc important pour les lecteurs d'être conscients de ces biais potentiels lorsqu'ils évaluent ces outils pour leur propre utilisation.</w:t>
      </w:r>
    </w:p>
    <w:p>
      <w:pPr>
        <w:pStyle w:val="Heading1"/>
      </w:pPr>
      <w:bookmarkStart w:id="5" w:name="_Toc5"/>
      <w:r>
        <w:t>Topics for further research:</w:t>
      </w:r>
      <w:bookmarkEnd w:id="5"/>
    </w:p>
    <w:p>
      <w:pPr>
        <w:spacing w:after="0"/>
        <w:numPr>
          <w:ilvl w:val="0"/>
          <w:numId w:val="2"/>
        </w:numPr>
      </w:pPr>
      <w:r>
        <w:rPr/>
        <w:t xml:space="preserve">Limitations des outils de dataviz pour explorer la littérature scientifique
</w:t>
      </w:r>
    </w:p>
    <w:p>
      <w:pPr>
        <w:spacing w:after="0"/>
        <w:numPr>
          <w:ilvl w:val="0"/>
          <w:numId w:val="2"/>
        </w:numPr>
      </w:pPr>
      <w:r>
        <w:rPr/>
        <w:t xml:space="preserve">Fiabilité et précision des outils de dataviz pour explorer la littérature scientifique
</w:t>
      </w:r>
    </w:p>
    <w:p>
      <w:pPr>
        <w:spacing w:after="0"/>
        <w:numPr>
          <w:ilvl w:val="0"/>
          <w:numId w:val="2"/>
        </w:numPr>
      </w:pPr>
      <w:r>
        <w:rPr/>
        <w:t xml:space="preserve">Biais algorithmiques dans les outils de dataviz pour explorer la littérature scientifique
</w:t>
      </w:r>
    </w:p>
    <w:p>
      <w:pPr>
        <w:spacing w:after="0"/>
        <w:numPr>
          <w:ilvl w:val="0"/>
          <w:numId w:val="2"/>
        </w:numPr>
      </w:pPr>
      <w:r>
        <w:rPr/>
        <w:t xml:space="preserve">Ressources limitées pour maintenir les outils de dataviz pour explorer la littérature scientifique
</w:t>
      </w:r>
    </w:p>
    <w:p>
      <w:pPr>
        <w:spacing w:after="0"/>
        <w:numPr>
          <w:ilvl w:val="0"/>
          <w:numId w:val="2"/>
        </w:numPr>
      </w:pPr>
      <w:r>
        <w:rPr/>
        <w:t xml:space="preserve">Problèmes potentiels avec les modèles freemiums dans les outils de dataviz pour explorer la littérature scientifique
</w:t>
      </w:r>
    </w:p>
    <w:p>
      <w:pPr>
        <w:numPr>
          <w:ilvl w:val="0"/>
          <w:numId w:val="2"/>
        </w:numPr>
      </w:pPr>
      <w:r>
        <w:rPr/>
        <w:t xml:space="preserve">Alternatives et critiques des outils de dataviz pour explorer la littérature scientifique</w:t>
      </w:r>
    </w:p>
    <w:p>
      <w:pPr>
        <w:pStyle w:val="Heading1"/>
      </w:pPr>
      <w:bookmarkStart w:id="6" w:name="_Toc6"/>
      <w:r>
        <w:t>Report location:</w:t>
      </w:r>
      <w:bookmarkEnd w:id="6"/>
    </w:p>
    <w:p>
      <w:hyperlink r:id="rId8" w:history="1">
        <w:r>
          <w:rPr>
            <w:color w:val="2980b9"/>
            <w:u w:val="single"/>
          </w:rPr>
          <w:t xml:space="preserve">https://www.fullpicture.app/item/70651d7c8035a1fe22e1b9452f14f3ca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C21F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ses-netsources.com/articles-de-bases/les-nouveaux-outils-de-dataviz-pour-explorer-la-litterature-scientifique" TargetMode="External"/><Relationship Id="rId8" Type="http://schemas.openxmlformats.org/officeDocument/2006/relationships/hyperlink" Target="https://www.fullpicture.app/item/70651d7c8035a1fe22e1b9452f14f3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2024-01-02T04:47:46+01:00</dcterms:created>
  <dcterms:modified xsi:type="dcterms:W3CDTF">2024-01-02T04:47:46+01:00</dcterms:modified>
</cp:coreProperties>
</file>

<file path=docProps/custom.xml><?xml version="1.0" encoding="utf-8"?>
<Properties xmlns="http://schemas.openxmlformats.org/officeDocument/2006/custom-properties" xmlns:vt="http://schemas.openxmlformats.org/officeDocument/2006/docPropsVTypes"/>
</file>