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培育国际消费中心城市总体方案</w:t>
      </w:r>
      <w:br/>
      <w:hyperlink r:id="rId7" w:history="1">
        <w:r>
          <w:rPr>
            <w:color w:val="2980b9"/>
            <w:u w:val="single"/>
          </w:rPr>
          <w:t xml:space="preserve">http://www.mofcom.gov.cn/zfxxgk/article/gkml/202110/20211003211511.shtml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总体要求：以新发展阶段为基础，实施新发展理念，优化消费供给，释放消费潜力，提升城市吸纳和带动全球消费的能力。</w:t>
      </w:r>
    </w:p>
    <w:p>
      <w:pPr>
        <w:jc w:val="both"/>
      </w:pPr>
      <w:r>
        <w:rPr/>
        <w:t xml:space="preserve">2. 关键任务：建设全球集聚多元化和综合化消费资源的商业区；打造具有全球影响力的标志性商业区；塑造新的消费场景。 </w:t>
      </w:r>
    </w:p>
    <w:p>
      <w:pPr>
        <w:jc w:val="both"/>
      </w:pPr>
      <w:r>
        <w:rPr/>
        <w:t xml:space="preserve">3. 培育国际消费中心城市的目标是在5-10年内培育一批具有全球影响力、竞争力和声誉的国际消费中心城市，并推动形成一批具有自身特色、辐射周边国家和地区的区域性国际消费中心城市群。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作为一份政府文件，该文章的主要目的是制定培育国际消费中心城市总体方案。然而，在阅读文章时，我们可以看到一些潜在的偏见和问题。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政府引导和市场运作的原则，但似乎更加注重市场运作。文章提出了吸引全球市场参与者、加速本地品牌培育、扩大商品供应渠道等措施，这些都是市场驱动的举措。然而，在实践中，政府引导和监管也是必不可少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环境和社会影响。虽然文章提到了改善商业质量、优化消费环境等方面，但并未涉及如何减少对环境和社会造成的负面影响。例如，在建设新商业区时需要考虑交通拥堵、噪音污染等问题，并采取相应措施来缓解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第一项任务中，文章提出吸引全球市场参与者以深度整合全球高质量资源。然而，并没有说明如何确保这些资源符合中国国内法规，并且是否会对本地市场造成不利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最后，文章没有平等地呈现双方。虽然文章提到了吸引国内外商业投资者和运营商的措施，但并未涉及如何保护消费者权益。在培育国际消费中心城市的过程中，保护消费者权益同样重要。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综上所述，该文章虽然提出了一些有价值的措施来培育国际消费中心城市，但也存在一些潜在的偏见和问题。政府应该更加注重监管和引导作用，并考虑环境和社会影响，同时确保公平竞争和保护消费者权益。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Government regulation and supervision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and sustainability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decision making
</w:t>
      </w:r>
    </w:p>
    <w:p>
      <w:pPr>
        <w:spacing w:after="0"/>
        <w:numPr>
          <w:ilvl w:val="0"/>
          <w:numId w:val="2"/>
        </w:numPr>
      </w:pPr>
      <w:r>
        <w:rPr/>
        <w:t xml:space="preserve">Compliance with domestic regulations
</w:t>
      </w:r>
    </w:p>
    <w:p>
      <w:pPr>
        <w:spacing w:after="0"/>
        <w:numPr>
          <w:ilvl w:val="0"/>
          <w:numId w:val="2"/>
        </w:numPr>
      </w:pPr>
      <w:r>
        <w:rPr/>
        <w:t xml:space="preserve">Consumer protection
</w:t>
      </w:r>
    </w:p>
    <w:p>
      <w:pPr>
        <w:numPr>
          <w:ilvl w:val="0"/>
          <w:numId w:val="2"/>
        </w:numPr>
      </w:pPr>
      <w:r>
        <w:rPr/>
        <w:t xml:space="preserve">Fair competition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https://www.fullpicture.app/item/6f3dad8e67a1f5bc5199c7ad237d0998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C20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fcom.gov.cn/zfxxgk/article/gkml/202110/20211003211511.shtml" TargetMode="External"/><Relationship Id="rId8" Type="http://schemas.openxmlformats.org/officeDocument/2006/relationships/hyperlink" Target="https://www.fullpicture.app/item/6f3dad8e67a1f5bc5199c7ad237d09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2024-01-09T21:49:00+01:00</dcterms:created>
  <dcterms:modified xsi:type="dcterms:W3CDTF">2024-01-09T21:49:00+01:00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