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We Have Learned from Animal Models of Dry Eye - PMC</w:t>
      </w:r>
      <w:br/>
      <w:hyperlink r:id="rId7" w:history="1">
        <w:r>
          <w:rPr>
            <w:color w:val="2980b9"/>
            <w:u w:val="single"/>
          </w:rPr>
          <w:t xml:space="preserve">https://www.ncbi.nlm.nih.gov/pmc/articles/PMC5347474/</w:t>
        </w:r>
      </w:hyperlink>
    </w:p>
    <w:p>
      <w:pPr>
        <w:pStyle w:val="Heading1"/>
      </w:pPr>
      <w:bookmarkStart w:id="2" w:name="_Toc2"/>
      <w:r>
        <w:t>Article summary:</w:t>
      </w:r>
      <w:bookmarkEnd w:id="2"/>
    </w:p>
    <w:p>
      <w:pPr>
        <w:jc w:val="both"/>
      </w:pPr>
      <w:r>
        <w:rPr/>
        <w:t xml:space="preserve">1. Animal models have been valuable in studying the pathogenesis of dry eye disease and identifying potential therapeutic targets and treatments.</w:t>
      </w:r>
    </w:p>
    <w:p>
      <w:pPr>
        <w:jc w:val="both"/>
      </w:pPr>
      <w:r>
        <w:rPr/>
        <w:t xml:space="preserve">2. The lacrimal functional unit (LFU), which includes the ocular surface, lacrimal glands, meibomian glands, and immune cells, plays a crucial role in maintaining a healthy ocular environment.</w:t>
      </w:r>
    </w:p>
    <w:p>
      <w:pPr>
        <w:jc w:val="both"/>
      </w:pPr>
      <w:r>
        <w:rPr/>
        <w:t xml:space="preserve">3. The desiccating stress model of dry eye in mice has provided insights into the innate and adaptive immune responses involved in the development of dry eye disease.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潜在偏见及其来源：文章没有明确提到作者的背景和利益冲突，这可能导致潜在的偏见。如果作者有与该主题相关的商业或学术利益，他们可能会倾向于支持某种观点或结果。</w:t>
      </w:r>
    </w:p>
    <w:p>
      <w:pPr>
        <w:jc w:val="both"/>
      </w:pPr>
      <w:r>
        <w:rPr/>
        <w:t xml:space="preserve"/>
      </w:r>
    </w:p>
    <w:p>
      <w:pPr>
        <w:jc w:val="both"/>
      </w:pPr>
      <w:r>
        <w:rPr/>
        <w:t xml:space="preserve">2. 片面报道：文章只关注了动物模型在干眼病研究中的应用，而没有提及其他类型的研究方法或临床试验。这种片面报道可能导致读者对干眼病治疗和机制的全面理解不足。</w:t>
      </w:r>
    </w:p>
    <w:p>
      <w:pPr>
        <w:jc w:val="both"/>
      </w:pPr>
      <w:r>
        <w:rPr/>
        <w:t xml:space="preserve"/>
      </w:r>
    </w:p>
    <w:p>
      <w:pPr>
        <w:jc w:val="both"/>
      </w:pPr>
      <w:r>
        <w:rPr/>
        <w:t xml:space="preserve">3. 无根据的主张：文章声称通过使用基因改变小鼠、特定抑制剂和移植脱水应激诱导的CD4+ T细胞来识别与干眼病相关的介质和途径。然而，文章没有提供任何具体证据来支持这些主张，例如实验结果或引用其他研究。</w:t>
      </w:r>
    </w:p>
    <w:p>
      <w:pPr>
        <w:jc w:val="both"/>
      </w:pPr>
      <w:r>
        <w:rPr/>
        <w:t xml:space="preserve"/>
      </w:r>
    </w:p>
    <w:p>
      <w:pPr>
        <w:jc w:val="both"/>
      </w:pPr>
      <w:r>
        <w:rPr/>
        <w:t xml:space="preserve">4. 缺失的考虑点：文章没有讨论动物模型与人类干眼病之间存在的差异和限制。动物模型可能无法完全复制人类干眼病的复杂生理过程和临床表现。此外，文章没有提及动物模型在干眼病治疗研究中的局限性，例如药物在动物模型中的有效性是否能够转化为人类患者。</w:t>
      </w:r>
    </w:p>
    <w:p>
      <w:pPr>
        <w:jc w:val="both"/>
      </w:pPr>
      <w:r>
        <w:rPr/>
        <w:t xml:space="preserve"/>
      </w:r>
    </w:p>
    <w:p>
      <w:pPr>
        <w:jc w:val="both"/>
      </w:pPr>
      <w:r>
        <w:rPr/>
        <w:t xml:space="preserve">5. 所提出主张的缺失证据：文章声称通过动物模型揭示了环孢素A和lifitegrast两种目前在美国批准使用的治疗方法的作用机制。然而，文章没有提供任何具体证据来支持这些主张，例如相关实验结果或引用其他研究。</w:t>
      </w:r>
    </w:p>
    <w:p>
      <w:pPr>
        <w:jc w:val="both"/>
      </w:pPr>
      <w:r>
        <w:rPr/>
        <w:t xml:space="preserve"/>
      </w:r>
    </w:p>
    <w:p>
      <w:pPr>
        <w:jc w:val="both"/>
      </w:pPr>
      <w:r>
        <w:rPr/>
        <w:t xml:space="preserve">6. 未探索的反驳：文章没有探讨可能与动物模型结果相悖或不支持的其他研究结果。这种选择性报道可能导致读者对干眼病机制和治疗方法的理解不完整。</w:t>
      </w:r>
    </w:p>
    <w:p>
      <w:pPr>
        <w:jc w:val="both"/>
      </w:pPr>
      <w:r>
        <w:rPr/>
        <w:t xml:space="preserve"/>
      </w:r>
    </w:p>
    <w:p>
      <w:pPr>
        <w:jc w:val="both"/>
      </w:pPr>
      <w:r>
        <w:rPr/>
        <w:t xml:space="preserve">7. 宣传内容：文章似乎更关注肯定动物模型在干眼病研究中的重要性和价值，而忽视了其他类型的研究方法和临床试验。这种宣传内容可能会误导读者，并使他们过分依赖动物模型结果。</w:t>
      </w:r>
    </w:p>
    <w:p>
      <w:pPr>
        <w:jc w:val="both"/>
      </w:pPr>
      <w:r>
        <w:rPr/>
        <w:t xml:space="preserve"/>
      </w:r>
    </w:p>
    <w:p>
      <w:pPr>
        <w:jc w:val="both"/>
      </w:pPr>
      <w:r>
        <w:rPr/>
        <w:t xml:space="preserve">综上所述，上述文章存在一些问题，包括潜在偏见、片面报道、无根据的主张、缺失的考虑点、所提出主张缺乏证据、未探索的反驳和宣传内容。读者应该保持批判思维，并在阅读此类文章时寻找更全面和客观的信息来源。</w:t>
      </w:r>
    </w:p>
    <w:p>
      <w:pPr>
        <w:pStyle w:val="Heading1"/>
      </w:pPr>
      <w:bookmarkStart w:id="5" w:name="_Toc5"/>
      <w:r>
        <w:t>Topics for further research:</w:t>
      </w:r>
      <w:bookmarkEnd w:id="5"/>
    </w:p>
    <w:p>
      <w:pPr>
        <w:spacing w:after="0"/>
        <w:numPr>
          <w:ilvl w:val="0"/>
          <w:numId w:val="2"/>
        </w:numPr>
      </w:pPr>
      <w:r>
        <w:rPr/>
        <w:t xml:space="preserve">干眼病的其他研究方法和临床试验
</w:t>
      </w:r>
    </w:p>
    <w:p>
      <w:pPr>
        <w:spacing w:after="0"/>
        <w:numPr>
          <w:ilvl w:val="0"/>
          <w:numId w:val="2"/>
        </w:numPr>
      </w:pPr>
      <w:r>
        <w:rPr/>
        <w:t xml:space="preserve">动物模型与人类干眼病之间的差异和限制
</w:t>
      </w:r>
    </w:p>
    <w:p>
      <w:pPr>
        <w:spacing w:after="0"/>
        <w:numPr>
          <w:ilvl w:val="0"/>
          <w:numId w:val="2"/>
        </w:numPr>
      </w:pPr>
      <w:r>
        <w:rPr/>
        <w:t xml:space="preserve">动物模型在干眼病治疗研究中的局限性
</w:t>
      </w:r>
    </w:p>
    <w:p>
      <w:pPr>
        <w:spacing w:after="0"/>
        <w:numPr>
          <w:ilvl w:val="0"/>
          <w:numId w:val="2"/>
        </w:numPr>
      </w:pPr>
      <w:r>
        <w:rPr/>
        <w:t xml:space="preserve">环孢素A和lifitegrast治疗干眼病的作用机制的具体证据
</w:t>
      </w:r>
    </w:p>
    <w:p>
      <w:pPr>
        <w:spacing w:after="0"/>
        <w:numPr>
          <w:ilvl w:val="0"/>
          <w:numId w:val="2"/>
        </w:numPr>
      </w:pPr>
      <w:r>
        <w:rPr/>
        <w:t xml:space="preserve">与动物模型结果相悖或不支持的其他研究结果
</w:t>
      </w:r>
    </w:p>
    <w:p>
      <w:pPr>
        <w:numPr>
          <w:ilvl w:val="0"/>
          <w:numId w:val="2"/>
        </w:numPr>
      </w:pPr>
      <w:r>
        <w:rPr/>
        <w:t xml:space="preserve">其他类型的研究方法和临床试验的重要性和价值</w:t>
      </w:r>
    </w:p>
    <w:p>
      <w:pPr>
        <w:pStyle w:val="Heading1"/>
      </w:pPr>
      <w:bookmarkStart w:id="6" w:name="_Toc6"/>
      <w:r>
        <w:t>Report location:</w:t>
      </w:r>
      <w:bookmarkEnd w:id="6"/>
    </w:p>
    <w:p>
      <w:hyperlink r:id="rId8" w:history="1">
        <w:r>
          <w:rPr>
            <w:color w:val="2980b9"/>
            <w:u w:val="single"/>
          </w:rPr>
          <w:t xml:space="preserve">https://www.fullpicture.app/item/6d9ca95209f39a80c64e5083421fedba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8CF57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5347474/" TargetMode="External"/><Relationship Id="rId8" Type="http://schemas.openxmlformats.org/officeDocument/2006/relationships/hyperlink" Target="https://www.fullpicture.app/item/6d9ca95209f39a80c64e5083421fedb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2024-01-14T07:53:55+01:00</dcterms:created>
  <dcterms:modified xsi:type="dcterms:W3CDTF">2024-01-14T07:53:55+01:00</dcterms:modified>
</cp:coreProperties>
</file>

<file path=docProps/custom.xml><?xml version="1.0" encoding="utf-8"?>
<Properties xmlns="http://schemas.openxmlformats.org/officeDocument/2006/custom-properties" xmlns:vt="http://schemas.openxmlformats.org/officeDocument/2006/docPropsVTypes"/>
</file>