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Geriatric nutrition risk index predicts prolonged post-stroke dysphagia in acute ischemic stroke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https://pubmed.ncbi.nlm.nih.gov/37295174/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本研究发现，急性缺血性中风患者入院时的营养状态与长期吞咽困难（PSD）有关。通过使用老年营养风险指数（GNRI），研究人员发现低GNRI值与长期PSD的风险增加相关。</w:t>
      </w:r>
    </w:p>
    <w:p>
      <w:pPr>
        <w:jc w:val="both"/>
      </w:pPr>
      <w:r>
        <w:rPr/>
        <w:t xml:space="preserve">2. 研究结果显示，严重和中度营养风险（GNRI &lt; 92）与长期PSD的发生率显著相关，相比于没有营养风险的患者（GNRI &gt; 98），中度或严重营养风险患者更容易出现长期PSD。</w:t>
      </w:r>
    </w:p>
    <w:p>
      <w:pPr>
        <w:jc w:val="both"/>
      </w:pPr>
      <w:r>
        <w:rPr/>
        <w:t xml:space="preserve">3. 这项研究表明，在急性缺血性中风患者入院时评估GNRI可能有助于识别存在长期PSD风险的患者，从而提供早期干预和治疗机会。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这篇文章的标题是“Geriatric nutrition risk index predicts prolonged post-stroke dysphagia in acute ischemic stroke”，它提出了一种评估营养风险指数（GNRI）对急性缺血性中风患者预测长期吞咽困难的能力。然而，对于这篇文章的详细批判性分析揭示了以下几个问题：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潜在偏见及其来源：文章没有明确提到作者是否有任何潜在的利益冲突或资金来源。这可能导致作者在研究设计、数据收集和结果解释方面存在潜在的偏见。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片面报道：文章只回顾性地分析了一所医院2018年1月至2020年12月期间的缺血性中风患者，并未考虑其他医院或地区的数据。这种片面报道可能导致样本选择偏差，限制了研究结果的推广能力。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无根据的主张：文章声称GNRI可以预测长期吞咽困难，但并未提供足够的证据来支持这一主张。没有详细描述GNRI与吞咽功能之间的生物学机制，也没有探讨其他可能影响吞咽困难发展的因素。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缺失的考虑点：文章没有考虑其他与吞咽困难相关的因素，如中风类型、中风部位、既往疾病史等。这些因素可能对预测长期吞咽困难具有重要影响，但在该研究中被忽略了。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所提出主张的缺失证据：文章声称GNRI与长期吞咽困难存在关联，但并未提供足够的数据来支持这一主张。只有117名患者被诊断为长期吞咽困难，这样的小样本量可能导致结果不可靠。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未探索的反驳：文章没有探讨其他可能解释其结果的因素。例如，是否存在其他营养指标或临床特征可以更好地预测长期吞咽困难？这种未探索的反驳限制了对该主张的全面理解。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宣传内容：文章没有提及任何潜在的风险或局限性。这种宣传性报道可能误导读者，并使他们过分依赖GNRI作为预测长期吞咽困难的指标。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多个问题，包括潜在的偏见、片面报道、无根据的主张、缺失的考虑点、所提出主张的缺失证据和未探索的反驳。读者应该对这些问题保持警惕，并谨慎评估该研究结果的可靠性和适用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潜在利益冲突或资金来源
</w:t>
      </w:r>
    </w:p>
    <w:p>
      <w:pPr>
        <w:spacing w:after="0"/>
        <w:numPr>
          <w:ilvl w:val="0"/>
          <w:numId w:val="2"/>
        </w:numPr>
      </w:pPr>
      <w:r>
        <w:rPr/>
        <w:t xml:space="preserve">其他医院或地区的数据
</w:t>
      </w:r>
    </w:p>
    <w:p>
      <w:pPr>
        <w:spacing w:after="0"/>
        <w:numPr>
          <w:ilvl w:val="0"/>
          <w:numId w:val="2"/>
        </w:numPr>
      </w:pPr>
      <w:r>
        <w:rPr/>
        <w:t xml:space="preserve">GNRI与吞咽功能之间的生物学机制
</w:t>
      </w:r>
    </w:p>
    <w:p>
      <w:pPr>
        <w:spacing w:after="0"/>
        <w:numPr>
          <w:ilvl w:val="0"/>
          <w:numId w:val="2"/>
        </w:numPr>
      </w:pPr>
      <w:r>
        <w:rPr/>
        <w:t xml:space="preserve">其他与吞咽困难相关的因素
</w:t>
      </w:r>
    </w:p>
    <w:p>
      <w:pPr>
        <w:spacing w:after="0"/>
        <w:numPr>
          <w:ilvl w:val="0"/>
          <w:numId w:val="2"/>
        </w:numPr>
      </w:pPr>
      <w:r>
        <w:rPr/>
        <w:t xml:space="preserve">GNRI与长期吞咽困难的关联证据
</w:t>
      </w:r>
    </w:p>
    <w:p>
      <w:pPr>
        <w:numPr>
          <w:ilvl w:val="0"/>
          <w:numId w:val="2"/>
        </w:numPr>
      </w:pPr>
      <w:r>
        <w:rPr/>
        <w:t xml:space="preserve">其他可能解释结果的因素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https://www.fullpicture.app/item/6d8d2309bca2bb5c45e826f67da648e7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9F699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7295174/" TargetMode="External"/><Relationship Id="rId8" Type="http://schemas.openxmlformats.org/officeDocument/2006/relationships/hyperlink" Target="https://www.fullpicture.app/item/6d8d2309bca2bb5c45e826f67da648e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2023-12-08T13:50:42+01:00</dcterms:created>
  <dcterms:modified xsi:type="dcterms:W3CDTF">2023-12-08T13:50:42+01:00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