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Horizon Scanning: Early Warning Signals of Future Trends in Undeclared Work by Colin Williams, Ioana Alexandra Horodnic :: SSRN</w:t>
      </w:r>
      <w:br/>
      <w:hyperlink r:id="rId7" w:history="1">
        <w:r>
          <w:rPr>
            <w:color w:val="2980b9"/>
            <w:u w:val="single"/>
          </w:rPr>
          <w:t xml:space="preserve">https://papers.ssrn.com/sol3/papers.cfm?abstract_id=3717399</w:t>
        </w:r>
      </w:hyperlink>
    </w:p>
    <w:p>
      <w:pPr>
        <w:pStyle w:val="Heading1"/>
      </w:pPr>
      <w:bookmarkStart w:id="2" w:name="_Toc2"/>
      <w:r>
        <w:t>Article summary:</w:t>
      </w:r>
      <w:bookmarkEnd w:id="2"/>
    </w:p>
    <w:p>
      <w:pPr>
        <w:jc w:val="both"/>
      </w:pPr>
      <w:r>
        <w:rPr/>
        <w:t xml:space="preserve">1. 本文介绍了如何进行“地平线扫描”来识别未申报工作的趋势。作者提出了一个早期警示系统，帮助欧盟成员国的政策制定者识别威胁和风险，以及减少未申报工作的机会和优势。</w:t>
      </w:r>
    </w:p>
    <w:p>
      <w:pPr>
        <w:jc w:val="both"/>
      </w:pPr>
      <w:r>
        <w:rPr/>
        <w:t xml:space="preserve"/>
      </w:r>
    </w:p>
    <w:p>
      <w:pPr>
        <w:jc w:val="both"/>
      </w:pPr>
      <w:r>
        <w:rPr/>
        <w:t xml:space="preserve">2. 文中还介绍了欧盟成员国执法机构可以采取的评估未申报工作趋势的方法，并回顾了执法机构对特定负面信号采取的早期干预措施，以促进成员国之间的相互学习。</w:t>
      </w:r>
    </w:p>
    <w:p>
      <w:pPr>
        <w:jc w:val="both"/>
      </w:pPr>
      <w:r>
        <w:rPr/>
        <w:t xml:space="preserve"/>
      </w:r>
    </w:p>
    <w:p>
      <w:pPr>
        <w:jc w:val="both"/>
      </w:pPr>
      <w:r>
        <w:rPr/>
        <w:t xml:space="preserve">3. 关键词包括非正规部门、非正规经济、未申报工作、预测、地平线扫描和欧洲联盟。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这篇文章的标题是《Horizon Scanning: Early Warning Signals of Future Trends in Undeclared Work by Colin Williams, Ioana Alexandra Horodnic :: SSRN》。根据文章的摘要，它主要讨论了政策制定者和执法机构如何通过“地平线扫描”来识别非申报工作的趋势。</w:t>
      </w:r>
    </w:p>
    <w:p>
      <w:pPr>
        <w:jc w:val="both"/>
      </w:pPr>
      <w:r>
        <w:rPr/>
        <w:t xml:space="preserve"/>
      </w:r>
    </w:p>
    <w:p>
      <w:pPr>
        <w:jc w:val="both"/>
      </w:pPr>
      <w:r>
        <w:rPr/>
        <w:t xml:space="preserve">然而，这篇文章存在一些潜在的偏见和片面报道。首先，文章没有提及对非申报工作进行研究的方法和数据来源。没有提供相关研究的具体细节，使读者无法评估其可靠性和准确性。</w:t>
      </w:r>
    </w:p>
    <w:p>
      <w:pPr>
        <w:jc w:val="both"/>
      </w:pPr>
      <w:r>
        <w:rPr/>
        <w:t xml:space="preserve"/>
      </w:r>
    </w:p>
    <w:p>
      <w:pPr>
        <w:jc w:val="both"/>
      </w:pPr>
      <w:r>
        <w:rPr/>
        <w:t xml:space="preserve">其次，文章没有探讨非申报工作背后的根本原因。非申报工作可能与经济、社会和政治因素有关，但这些因素在文章中并未得到充分考虑。缺乏对这些因素的深入分析可能导致对解决非申报工作问题的有效策略的误解。</w:t>
      </w:r>
    </w:p>
    <w:p>
      <w:pPr>
        <w:jc w:val="both"/>
      </w:pPr>
      <w:r>
        <w:rPr/>
        <w:t xml:space="preserve"/>
      </w:r>
    </w:p>
    <w:p>
      <w:pPr>
        <w:jc w:val="both"/>
      </w:pPr>
      <w:r>
        <w:rPr/>
        <w:t xml:space="preserve">此外，文章没有提供关于如何应对非申报工作问题的具体建议。尽管提到了早期干预措施，但并未详细说明这些措施是什么以及它们是否成功。缺乏实证数据支持的主张可能使读者难以相信作者所提出的观点。</w:t>
      </w:r>
    </w:p>
    <w:p>
      <w:pPr>
        <w:jc w:val="both"/>
      </w:pPr>
      <w:r>
        <w:rPr/>
        <w:t xml:space="preserve"/>
      </w:r>
    </w:p>
    <w:p>
      <w:pPr>
        <w:jc w:val="both"/>
      </w:pPr>
      <w:r>
        <w:rPr/>
        <w:t xml:space="preserve">最后，文章没有平等地呈现双方的观点。它似乎更关注政策制定者和执法机构的角度，而忽视了非申报工作从业者和其他相关利益相关者的声音。这种偏袒可能导致对非申报工作问题的理解不完整。</w:t>
      </w:r>
    </w:p>
    <w:p>
      <w:pPr>
        <w:jc w:val="both"/>
      </w:pPr>
      <w:r>
        <w:rPr/>
        <w:t xml:space="preserve"/>
      </w:r>
    </w:p>
    <w:p>
      <w:pPr>
        <w:jc w:val="both"/>
      </w:pPr>
      <w:r>
        <w:rPr/>
        <w:t xml:space="preserve">综上所述，这篇文章存在一些潜在的偏见和片面报道。它缺乏对研究方法和数据来源的透明度，没有探讨非申报工作背后的根本原因，并且缺乏具体建议和平等呈现双方观点。读者应该谨慎对待其中提出的主张，并寻找更全面、客观的信息来了解非申报工作问题。</w:t>
      </w:r>
    </w:p>
    <w:p>
      <w:pPr>
        <w:pStyle w:val="Heading1"/>
      </w:pPr>
      <w:bookmarkStart w:id="5" w:name="_Toc5"/>
      <w:r>
        <w:t>Topics for further research:</w:t>
      </w:r>
      <w:bookmarkEnd w:id="5"/>
    </w:p>
    <w:p>
      <w:pPr>
        <w:spacing w:after="0"/>
        <w:numPr>
          <w:ilvl w:val="0"/>
          <w:numId w:val="2"/>
        </w:numPr>
      </w:pPr>
      <w:r>
        <w:rPr/>
        <w:t xml:space="preserve">非申报工作研究方法和数据来源
</w:t>
      </w:r>
    </w:p>
    <w:p>
      <w:pPr>
        <w:spacing w:after="0"/>
        <w:numPr>
          <w:ilvl w:val="0"/>
          <w:numId w:val="2"/>
        </w:numPr>
      </w:pPr>
      <w:r>
        <w:rPr/>
        <w:t xml:space="preserve">非申报工作的根本原因
</w:t>
      </w:r>
    </w:p>
    <w:p>
      <w:pPr>
        <w:spacing w:after="0"/>
        <w:numPr>
          <w:ilvl w:val="0"/>
          <w:numId w:val="2"/>
        </w:numPr>
      </w:pPr>
      <w:r>
        <w:rPr/>
        <w:t xml:space="preserve">应对非申报工作问题的具体建议
</w:t>
      </w:r>
    </w:p>
    <w:p>
      <w:pPr>
        <w:spacing w:after="0"/>
        <w:numPr>
          <w:ilvl w:val="0"/>
          <w:numId w:val="2"/>
        </w:numPr>
      </w:pPr>
      <w:r>
        <w:rPr/>
        <w:t xml:space="preserve">早期干预措施的成功与否
</w:t>
      </w:r>
    </w:p>
    <w:p>
      <w:pPr>
        <w:spacing w:after="0"/>
        <w:numPr>
          <w:ilvl w:val="0"/>
          <w:numId w:val="2"/>
        </w:numPr>
      </w:pPr>
      <w:r>
        <w:rPr/>
        <w:t xml:space="preserve">双方观点的平等呈现
</w:t>
      </w:r>
    </w:p>
    <w:p>
      <w:pPr>
        <w:numPr>
          <w:ilvl w:val="0"/>
          <w:numId w:val="2"/>
        </w:numPr>
      </w:pPr>
      <w:r>
        <w:rPr/>
        <w:t xml:space="preserve">更全面、客观的信息来源</w:t>
      </w:r>
    </w:p>
    <w:p>
      <w:pPr>
        <w:pStyle w:val="Heading1"/>
      </w:pPr>
      <w:bookmarkStart w:id="6" w:name="_Toc6"/>
      <w:r>
        <w:t>Report location:</w:t>
      </w:r>
      <w:bookmarkEnd w:id="6"/>
    </w:p>
    <w:p>
      <w:hyperlink r:id="rId8" w:history="1">
        <w:r>
          <w:rPr>
            <w:color w:val="2980b9"/>
            <w:u w:val="single"/>
          </w:rPr>
          <w:t xml:space="preserve">https://www.fullpicture.app/item/6d880ffdf87b239947eac54e13d4ed0a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2F1A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ssrn.com/sol3/papers.cfm?abstract_id=3717399" TargetMode="External"/><Relationship Id="rId8" Type="http://schemas.openxmlformats.org/officeDocument/2006/relationships/hyperlink" Target="https://www.fullpicture.app/item/6d880ffdf87b239947eac54e13d4ed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2023-08-13T22:23:38+02:00</dcterms:created>
  <dcterms:modified xsi:type="dcterms:W3CDTF">2023-08-13T22:23:38+02:00</dcterms:modified>
</cp:coreProperties>
</file>

<file path=docProps/custom.xml><?xml version="1.0" encoding="utf-8"?>
<Properties xmlns="http://schemas.openxmlformats.org/officeDocument/2006/custom-properties" xmlns:vt="http://schemas.openxmlformats.org/officeDocument/2006/docPropsVTypes"/>
</file>