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Home | Research Square</w:t>
      </w:r>
      <w:br/>
      <w:hyperlink r:id="rId7" w:history="1">
        <w:r>
          <w:rPr>
            <w:color w:val="2980b9"/>
            <w:u w:val="single"/>
          </w:rPr>
          <w:t xml:space="preserve">https://www.researchsquare.com/article/rs-2788874/v1</w:t>
        </w:r>
      </w:hyperlink>
    </w:p>
    <w:p>
      <w:pPr>
        <w:pStyle w:val="Heading1"/>
      </w:pPr>
      <w:bookmarkStart w:id="2" w:name="_Toc2"/>
      <w:r>
        <w:t>Article summary:</w:t>
      </w:r>
      <w:bookmarkEnd w:id="2"/>
    </w:p>
    <w:p>
      <w:pPr>
        <w:jc w:val="both"/>
      </w:pPr>
      <w:r>
        <w:rPr/>
        <w:t xml:space="preserve">1. Tislelizumab is a cost-effective second-line treatment for locally advanced or metastatic esophageal squamous cell carcinoma (ESCC) in China.</w:t>
      </w:r>
    </w:p>
    <w:p>
      <w:pPr>
        <w:jc w:val="both"/>
      </w:pPr>
      <w:r>
        <w:rPr/>
        <w:t xml:space="preserve">2. The study used a partitioned survival model to compare the cost-effectiveness of tislelizumab versus camrelizumab, based on individual patient data from clinical trials.</w:t>
      </w:r>
    </w:p>
    <w:p>
      <w:pPr>
        <w:jc w:val="both"/>
      </w:pPr>
      <w:r>
        <w:rPr/>
        <w:t xml:space="preserve">3. Tislelizumab monotherapy incurred lower lifetime costs and yielded higher quality-adjusted life-years (QALYs) compared to camrelizumab monotherapy, making it a dominant option for ESCC treatment in China.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潜在偏见及其来源：文章没有明确提及作者的背景和利益冲突，这可能导致潜在的偏见。如果作者与某个药物公司有关联或者受到资助，那么他们可能倾向于支持该药物的使用。</w:t>
      </w:r>
    </w:p>
    <w:p>
      <w:pPr>
        <w:jc w:val="both"/>
      </w:pPr>
      <w:r>
        <w:rPr/>
        <w:t xml:space="preserve"/>
      </w:r>
    </w:p>
    <w:p>
      <w:pPr>
        <w:jc w:val="both"/>
      </w:pPr>
      <w:r>
        <w:rPr/>
        <w:t xml:space="preserve">2. 片面报道：文章只关注了tislelizumab和camrelizumab两种药物的成本效益比较，而没有考虑其他可能的治疗选择。这种片面报道可能会导致读者对其他治疗方法的了解不足。</w:t>
      </w:r>
    </w:p>
    <w:p>
      <w:pPr>
        <w:jc w:val="both"/>
      </w:pPr>
      <w:r>
        <w:rPr/>
        <w:t xml:space="preserve"/>
      </w:r>
    </w:p>
    <w:p>
      <w:pPr>
        <w:jc w:val="both"/>
      </w:pPr>
      <w:r>
        <w:rPr/>
        <w:t xml:space="preserve">3. 无根据的主张：文章声称tislelizumab单药治疗是中国局部晚期或转移性食管鳞癌患者的首选治疗方法，但没有提供足够的证据来支持这一主张。缺乏头对头临床试验数据以及其他相关研究结果使得这一主张缺乏可靠性。</w:t>
      </w:r>
    </w:p>
    <w:p>
      <w:pPr>
        <w:jc w:val="both"/>
      </w:pPr>
      <w:r>
        <w:rPr/>
        <w:t xml:space="preserve"/>
      </w:r>
    </w:p>
    <w:p>
      <w:pPr>
        <w:jc w:val="both"/>
      </w:pPr>
      <w:r>
        <w:rPr/>
        <w:t xml:space="preserve">4. 缺失的考虑点：文章只考虑了直接医疗费用，并未考虑间接费用（如患者生活质量改善所带来的经济效益）以及其他非经济因素（如副作用、生活质量等）。这种缺失可能导致对药物成本效益的评估不完整。</w:t>
      </w:r>
    </w:p>
    <w:p>
      <w:pPr>
        <w:jc w:val="both"/>
      </w:pPr>
      <w:r>
        <w:rPr/>
        <w:t xml:space="preserve"/>
      </w:r>
    </w:p>
    <w:p>
      <w:pPr>
        <w:jc w:val="both"/>
      </w:pPr>
      <w:r>
        <w:rPr/>
        <w:t xml:space="preserve">5. 所提出主张的缺失证据：文章没有提供足够的证据来支持tislelizumab单药治疗在中国局部晚期或转移性食管鳞癌患者中的优势。缺乏头对头临床试验数据以及其他相关研究结果使得这一主张缺乏可靠性。</w:t>
      </w:r>
    </w:p>
    <w:p>
      <w:pPr>
        <w:jc w:val="both"/>
      </w:pPr>
      <w:r>
        <w:rPr/>
        <w:t xml:space="preserve"/>
      </w:r>
    </w:p>
    <w:p>
      <w:pPr>
        <w:jc w:val="both"/>
      </w:pPr>
      <w:r>
        <w:rPr/>
        <w:t xml:space="preserve">6. 未探索的反驳：文章没有探讨可能存在的反驳观点或争议。这种未探索可能导致读者对该主张的全面性和可靠性产生质疑。</w:t>
      </w:r>
    </w:p>
    <w:p>
      <w:pPr>
        <w:jc w:val="both"/>
      </w:pPr>
      <w:r>
        <w:rPr/>
        <w:t xml:space="preserve"/>
      </w:r>
    </w:p>
    <w:p>
      <w:pPr>
        <w:jc w:val="both"/>
      </w:pPr>
      <w:r>
        <w:rPr/>
        <w:t xml:space="preserve">7. 宣传内容：文章中使用了一些宣传性词语，如"dominant option"和"100% cost-effective"，这可能会给读者留下过于乐观和片面的印象。</w:t>
      </w:r>
    </w:p>
    <w:p>
      <w:pPr>
        <w:jc w:val="both"/>
      </w:pPr>
      <w:r>
        <w:rPr/>
        <w:t xml:space="preserve"/>
      </w:r>
    </w:p>
    <w:p>
      <w:pPr>
        <w:jc w:val="both"/>
      </w:pPr>
      <w:r>
        <w:rPr/>
        <w:t xml:space="preserve">8. 是否注意到可能的风险：文章没有明确提及tislelizumab和camrelizumab可能存在的风险和副作用。这种忽略可能导致读者对治疗选择的风险有所误解。</w:t>
      </w:r>
    </w:p>
    <w:p>
      <w:pPr>
        <w:jc w:val="both"/>
      </w:pPr>
      <w:r>
        <w:rPr/>
        <w:t xml:space="preserve"/>
      </w:r>
    </w:p>
    <w:p>
      <w:pPr>
        <w:jc w:val="both"/>
      </w:pPr>
      <w:r>
        <w:rPr/>
        <w:t xml:space="preserve">9. 没有平等地呈现双方：文章只关注了tislelizumab单药治疗与camrelizumab单药治疗之间的比较，而没有平等地呈现其他可能的治疗选择。这种不平等可能导致读者对治疗选择的了解不足。</w:t>
      </w:r>
    </w:p>
    <w:p>
      <w:pPr>
        <w:jc w:val="both"/>
      </w:pPr>
      <w:r>
        <w:rPr/>
        <w:t xml:space="preserve"/>
      </w:r>
    </w:p>
    <w:p>
      <w:pPr>
        <w:jc w:val="both"/>
      </w:pPr>
      <w:r>
        <w:rPr/>
        <w:t xml:space="preserve">总体而言，上述文章存在一些潜在的偏见和片面报道，并且缺乏足够的证据来支持其主张。此外，文章未能全面考虑其他重要因素和风险，以及平等地呈现双方观点。因此，读者应该对该文章中提出的结论保持谨慎，并寻找更多可靠的信息来做出决策。</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其他治疗选择的考虑
</w:t>
      </w:r>
    </w:p>
    <w:p>
      <w:pPr>
        <w:spacing w:after="0"/>
        <w:numPr>
          <w:ilvl w:val="0"/>
          <w:numId w:val="2"/>
        </w:numPr>
      </w:pPr>
      <w:r>
        <w:rPr/>
        <w:t xml:space="preserve">tislelizumab单药治疗的证据支持
</w:t>
      </w:r>
    </w:p>
    <w:p>
      <w:pPr>
        <w:spacing w:after="0"/>
        <w:numPr>
          <w:ilvl w:val="0"/>
          <w:numId w:val="2"/>
        </w:numPr>
      </w:pPr>
      <w:r>
        <w:rPr/>
        <w:t xml:space="preserve">非经济因素的考虑
</w:t>
      </w:r>
    </w:p>
    <w:p>
      <w:pPr>
        <w:spacing w:after="0"/>
        <w:numPr>
          <w:ilvl w:val="0"/>
          <w:numId w:val="2"/>
        </w:numPr>
      </w:pPr>
      <w:r>
        <w:rPr/>
        <w:t xml:space="preserve">tislelizumab单药治疗的优势证据
</w:t>
      </w:r>
    </w:p>
    <w:p>
      <w:pPr>
        <w:numPr>
          <w:ilvl w:val="0"/>
          <w:numId w:val="2"/>
        </w:numPr>
      </w:pPr>
      <w:r>
        <w:rPr/>
        <w:t xml:space="preserve">反驳观点和争议的探讨</w:t>
      </w:r>
    </w:p>
    <w:p>
      <w:pPr>
        <w:pStyle w:val="Heading1"/>
      </w:pPr>
      <w:bookmarkStart w:id="6" w:name="_Toc6"/>
      <w:r>
        <w:t>Report location:</w:t>
      </w:r>
      <w:bookmarkEnd w:id="6"/>
    </w:p>
    <w:p>
      <w:hyperlink r:id="rId8" w:history="1">
        <w:r>
          <w:rPr>
            <w:color w:val="2980b9"/>
            <w:u w:val="single"/>
          </w:rPr>
          <w:t xml:space="preserve">https://www.fullpicture.app/item/6a8587f605f25fa9e26d727f6379f7ec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6C9C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square.com/article/rs-2788874/v1" TargetMode="External"/><Relationship Id="rId8" Type="http://schemas.openxmlformats.org/officeDocument/2006/relationships/hyperlink" Target="https://www.fullpicture.app/item/6a8587f605f25fa9e26d727f6379f7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2024-01-09T04:20:03+01:00</dcterms:created>
  <dcterms:modified xsi:type="dcterms:W3CDTF">2024-01-09T04:20:03+01:00</dcterms:modified>
</cp:coreProperties>
</file>

<file path=docProps/custom.xml><?xml version="1.0" encoding="utf-8"?>
<Properties xmlns="http://schemas.openxmlformats.org/officeDocument/2006/custom-properties" xmlns:vt="http://schemas.openxmlformats.org/officeDocument/2006/docPropsVTypes"/>
</file>