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Efficient Catalytic Oxidation of 5‐Hydroxymethylfurfural to 2,5‐Furandicarboxylic Acid by Magnetic Laccase Catalyst - Wang - 2018 - ChemBioChem - Wiley Online Library</w:t>
      </w:r>
      <w:br/>
      <w:hyperlink r:id="rId7" w:history="1">
        <w:r>
          <w:rPr>
            <w:color w:val="2980b9"/>
            <w:u w:val="single"/>
          </w:rPr>
          <w:t xml:space="preserve">https://chemistry-europe.onlinelibrary.wiley.com/doi/abs/10.1002/cbic.201800008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2,5-Furandicarboxylic acid (FDCA) is a bio-based platform chemical for the production of valuable furanic chemicals.</w:t>
      </w:r>
    </w:p>
    <w:p>
      <w:pPr>
        <w:jc w:val="both"/>
      </w:pPr>
      <w:r>
        <w:rPr/>
        <w:t xml:space="preserve">2. A magnetic laccase catalyst with TEMPO as the mediator can efficiently oxidize 5-hydroxymethylfurfural (HMF) to FDCA with a quantitative yield of 90.2% and complete HMF conversion.</w:t>
      </w:r>
    </w:p>
    <w:p>
      <w:pPr>
        <w:jc w:val="both"/>
      </w:pPr>
      <w:r>
        <w:rPr/>
        <w:t xml:space="preserve">3. The magnetic laccase catalyst exhibits good recyclability and stability, maintaining 84.8% of its original activity following six reuse cycles, making it an eco-efficient and sustainable option for oxidation of bio-based chemicals.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并没有明显的偏见或宣传内容。然而，需要注意的是，该研究只考虑了催化剂的效率和稳定性，并未探讨其可能的环境风险或负面影响。此外，该研究也没有涉及到生产FDCA所需的能源和资源成本等方面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提出了使用固定酶催化剂高效氧化HMF制备FDCA的方法，并声称其具有良好的回收利用性和稳定性。然而，该研究并未对其他可能存在的反应产物进行分析，并且在实际应用中可能会遇到更多挑战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总之，尽管该文章提供了一种新颖的方法来制备FDCA，但仍需要进一步探索其可行性和可持续性，并考虑其潜在环境和经济影响。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risks of FDCA production
</w:t>
      </w:r>
    </w:p>
    <w:p>
      <w:pPr>
        <w:spacing w:after="0"/>
        <w:numPr>
          <w:ilvl w:val="0"/>
          <w:numId w:val="2"/>
        </w:numPr>
      </w:pPr>
      <w:r>
        <w:rPr/>
        <w:t xml:space="preserve">Negative impacts of FDCA production
</w:t>
      </w:r>
    </w:p>
    <w:p>
      <w:pPr>
        <w:spacing w:after="0"/>
        <w:numPr>
          <w:ilvl w:val="0"/>
          <w:numId w:val="2"/>
        </w:numPr>
      </w:pPr>
      <w:r>
        <w:rPr/>
        <w:t xml:space="preserve">Energy and resource costs of FDCA production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reaction products in FDCA production
</w:t>
      </w:r>
    </w:p>
    <w:p>
      <w:pPr>
        <w:spacing w:after="0"/>
        <w:numPr>
          <w:ilvl w:val="0"/>
          <w:numId w:val="2"/>
        </w:numPr>
      </w:pPr>
      <w:r>
        <w:rPr/>
        <w:t xml:space="preserve">Challenges and limitations in practical application of FDCA production
</w:t>
      </w:r>
    </w:p>
    <w:p>
      <w:pPr>
        <w:numPr>
          <w:ilvl w:val="0"/>
          <w:numId w:val="2"/>
        </w:numPr>
      </w:pPr>
      <w:r>
        <w:rPr/>
        <w:t xml:space="preserve">Feasibility and sustainability of FDCA production method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https://www.fullpicture.app/item/6857bf7050158a6592d15a40f64a867d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8FC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emistry-europe.onlinelibrary.wiley.com/doi/abs/10.1002/cbic.201800008" TargetMode="External"/><Relationship Id="rId8" Type="http://schemas.openxmlformats.org/officeDocument/2006/relationships/hyperlink" Target="https://www.fullpicture.app/item/6857bf7050158a6592d15a40f64a867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2023-12-15T18:29:40+01:00</dcterms:created>
  <dcterms:modified xsi:type="dcterms:W3CDTF">2023-12-15T18:29:40+01:00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