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graph convolution network‐deep reinforcement learning model for resilient water distribution network repair decisions - Fan - 2022 - Computer-Aided Civil and Infrastructure Engineering - Wiley Online Library</w:t>
      </w:r>
      <w:br/>
      <w:hyperlink r:id="rId7" w:history="1">
        <w:r>
          <w:rPr>
            <w:color w:val="2980b9"/>
            <w:u w:val="single"/>
          </w:rPr>
          <w:t xml:space="preserve">https://onlinelibrary.wiley.com/doi/10.1111/mice.12813</w:t>
        </w:r>
      </w:hyperlink>
    </w:p>
    <w:p>
      <w:pPr>
        <w:pStyle w:val="Heading1"/>
      </w:pPr>
      <w:bookmarkStart w:id="2" w:name="_Toc2"/>
      <w:r>
        <w:t>Article summary:</w:t>
      </w:r>
      <w:bookmarkEnd w:id="2"/>
    </w:p>
    <w:p>
      <w:pPr>
        <w:jc w:val="both"/>
      </w:pPr>
      <w:r>
        <w:rPr/>
        <w:t xml:space="preserve">1. 本文介绍了一种基于图卷积神经网络和深度强化学习的模型，用于支持地震后水配管网的最优修复决策，以提高其韧性。</w:t>
      </w:r>
    </w:p>
    <w:p>
      <w:pPr>
        <w:jc w:val="both"/>
      </w:pPr>
      <w:r>
        <w:rPr/>
        <w:t xml:space="preserve">2. 该模型使用图卷积神经网络对水配管网进行编码，并将服务节点的拓扑结构和性能作为输入，输出每个修复行动的奖励值（Q值），并通过深度强化学习选择最优修复顺序。</w:t>
      </w:r>
    </w:p>
    <w:p>
      <w:pPr>
        <w:jc w:val="both"/>
      </w:pPr>
      <w:r>
        <w:rPr/>
        <w:t xml:space="preserve">3. 在测试用例中，该模型表现出较高的系统韧性指数和快速恢复系统性能的能力，并且通过预训练模型实现了高效计算。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作为一篇研究文章，本文提出了一个新的模型来支持水配管网络在地震后的修复决策。然而，在对该文章进行批判性分析时，我们需要注意以下几点：</w:t>
      </w:r>
    </w:p>
    <w:p>
      <w:pPr>
        <w:jc w:val="both"/>
      </w:pPr>
      <w:r>
        <w:rPr/>
        <w:t xml:space="preserve"/>
      </w:r>
    </w:p>
    <w:p>
      <w:pPr>
        <w:jc w:val="both"/>
      </w:pPr>
      <w:r>
        <w:rPr/>
        <w:t xml:space="preserve">首先，本文没有明确提到任何潜在偏见或来源。虽然作者提供了资金信息，但并未说明是否存在任何利益冲突或其他可能影响其研究结果的因素。</w:t>
      </w:r>
    </w:p>
    <w:p>
      <w:pPr>
        <w:jc w:val="both"/>
      </w:pPr>
      <w:r>
        <w:rPr/>
        <w:t xml:space="preserve"/>
      </w:r>
    </w:p>
    <w:p>
      <w:pPr>
        <w:jc w:val="both"/>
      </w:pPr>
      <w:r>
        <w:rPr/>
        <w:t xml:space="preserve">其次，本文似乎只关注了地震对水配管网络的影响，并没有考虑其他可能的灾害类型。这种片面报道可能会导致读者忽略其他重要的风险和应对措施。</w:t>
      </w:r>
    </w:p>
    <w:p>
      <w:pPr>
        <w:jc w:val="both"/>
      </w:pPr>
      <w:r>
        <w:rPr/>
        <w:t xml:space="preserve"/>
      </w:r>
    </w:p>
    <w:p>
      <w:pPr>
        <w:jc w:val="both"/>
      </w:pPr>
      <w:r>
        <w:rPr/>
        <w:t xml:space="preserve">此外，本文中所提出的主张缺乏充分证据支持。例如，在介绍GCN-DRL模型时，作者声称该模型可以支持最优修复决策以提高水配管网络的弹性。然而，在实验结果中，并没有详细说明该模型相对于传统方法具有多大优势或如何证明其有效性。</w:t>
      </w:r>
    </w:p>
    <w:p>
      <w:pPr>
        <w:jc w:val="both"/>
      </w:pPr>
      <w:r>
        <w:rPr/>
        <w:t xml:space="preserve"/>
      </w:r>
    </w:p>
    <w:p>
      <w:pPr>
        <w:jc w:val="both"/>
      </w:pPr>
      <w:r>
        <w:rPr/>
        <w:t xml:space="preserve">另外，本文也没有探索任何反驳观点或潜在风险。例如，在使用预训练模型进行转移学习时，是否存在过拟合或其他问题？如果是这样，将如何解决？</w:t>
      </w:r>
    </w:p>
    <w:p>
      <w:pPr>
        <w:jc w:val="both"/>
      </w:pPr>
      <w:r>
        <w:rPr/>
        <w:t xml:space="preserve"/>
      </w:r>
    </w:p>
    <w:p>
      <w:pPr>
        <w:jc w:val="both"/>
      </w:pPr>
      <w:r>
        <w:rPr/>
        <w:t xml:space="preserve">最后，尽管本文提供了一些有用的信息和见解，但它似乎缺乏平等呈现双方的精神。例如，在介绍WDN弹性评估框架时，并未涉及社区参与、公共安全和环境保护等方面的问题。</w:t>
      </w:r>
    </w:p>
    <w:p>
      <w:pPr>
        <w:jc w:val="both"/>
      </w:pPr>
      <w:r>
        <w:rPr/>
        <w:t xml:space="preserve"/>
      </w:r>
    </w:p>
    <w:p>
      <w:pPr>
        <w:jc w:val="both"/>
      </w:pPr>
      <w:r>
        <w:rPr/>
        <w:t xml:space="preserve">总之，虽然本文提供了一些有用的信息和见解，但它也存在一些潜在问题和局限性。因此，在阅读和引用该文章时，请务必谨慎并考虑其他相关研究结果和观点。</w:t>
      </w:r>
    </w:p>
    <w:p>
      <w:pPr>
        <w:pStyle w:val="Heading1"/>
      </w:pPr>
      <w:bookmarkStart w:id="5" w:name="_Toc5"/>
      <w:r>
        <w:t>Topics for further research:</w:t>
      </w:r>
      <w:bookmarkEnd w:id="5"/>
    </w:p>
    <w:p>
      <w:pPr>
        <w:spacing w:after="0"/>
        <w:numPr>
          <w:ilvl w:val="0"/>
          <w:numId w:val="2"/>
        </w:numPr>
      </w:pPr>
      <w:r>
        <w:rPr/>
        <w:t xml:space="preserve">Potential biases or sources of influence
</w:t>
      </w:r>
    </w:p>
    <w:p>
      <w:pPr>
        <w:spacing w:after="0"/>
        <w:numPr>
          <w:ilvl w:val="0"/>
          <w:numId w:val="2"/>
        </w:numPr>
      </w:pPr>
      <w:r>
        <w:rPr/>
        <w:t xml:space="preserve">Limitations of focusing only on one type of disaster
</w:t>
      </w:r>
    </w:p>
    <w:p>
      <w:pPr>
        <w:spacing w:after="0"/>
        <w:numPr>
          <w:ilvl w:val="0"/>
          <w:numId w:val="2"/>
        </w:numPr>
      </w:pPr>
      <w:r>
        <w:rPr/>
        <w:t xml:space="preserve">Lack of sufficient evidence to support claims
</w:t>
      </w:r>
    </w:p>
    <w:p>
      <w:pPr>
        <w:spacing w:after="0"/>
        <w:numPr>
          <w:ilvl w:val="0"/>
          <w:numId w:val="2"/>
        </w:numPr>
      </w:pPr>
      <w:r>
        <w:rPr/>
        <w:t xml:space="preserve">Failure to explore counterarguments or potential risks
</w:t>
      </w:r>
    </w:p>
    <w:p>
      <w:pPr>
        <w:spacing w:after="0"/>
        <w:numPr>
          <w:ilvl w:val="0"/>
          <w:numId w:val="2"/>
        </w:numPr>
      </w:pPr>
      <w:r>
        <w:rPr/>
        <w:t xml:space="preserve">Lack of equal presentation of all relevant issues
</w:t>
      </w:r>
    </w:p>
    <w:p>
      <w:pPr>
        <w:numPr>
          <w:ilvl w:val="0"/>
          <w:numId w:val="2"/>
        </w:numPr>
      </w:pPr>
      <w:r>
        <w:rPr/>
        <w:t xml:space="preserve">Need for caution and consideration of other research results and perspectives</w:t>
      </w:r>
    </w:p>
    <w:p>
      <w:pPr>
        <w:pStyle w:val="Heading1"/>
      </w:pPr>
      <w:bookmarkStart w:id="6" w:name="_Toc6"/>
      <w:r>
        <w:t>Report location:</w:t>
      </w:r>
      <w:bookmarkEnd w:id="6"/>
    </w:p>
    <w:p>
      <w:hyperlink r:id="rId8" w:history="1">
        <w:r>
          <w:rPr>
            <w:color w:val="2980b9"/>
            <w:u w:val="single"/>
          </w:rPr>
          <w:t xml:space="preserve">https://www.fullpicture.app/item/67e8cc7629ba08a5568d7ed79cf6dec7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14E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mice.12813" TargetMode="External"/><Relationship Id="rId8" Type="http://schemas.openxmlformats.org/officeDocument/2006/relationships/hyperlink" Target="https://www.fullpicture.app/item/67e8cc7629ba08a5568d7ed79cf6de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2023-12-05T12:25:28+01:00</dcterms:created>
  <dcterms:modified xsi:type="dcterms:W3CDTF">2023-12-05T12:25:28+01:00</dcterms:modified>
</cp:coreProperties>
</file>

<file path=docProps/custom.xml><?xml version="1.0" encoding="utf-8"?>
<Properties xmlns="http://schemas.openxmlformats.org/officeDocument/2006/custom-properties" xmlns:vt="http://schemas.openxmlformats.org/officeDocument/2006/docPropsVTypes"/>
</file>