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Glia | Neurobiology Journal | Wiley Online Library</w:t>
      </w:r>
      <w:br/>
      <w:hyperlink r:id="rId7" w:history="1">
        <w:r>
          <w:rPr>
            <w:color w:val="2980b9"/>
            <w:u w:val="single"/>
          </w:rPr>
          <w:t xml:space="preserve">https://onlinelibrary.wiley.com/doi/full/10.1002/glia.23879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Fatty acids have multiple functions in cellular processes, including energy source and signaling molecules that affect gene expression, cell growth, metabolism, and inflammatory responses.</w:t>
      </w:r>
    </w:p>
    <w:p>
      <w:pPr>
        <w:jc w:val="both"/>
      </w:pPr>
      <w:r>
        <w:rPr/>
        <w:t xml:space="preserve">2. Fatty acid binding proteins (FABPs) are key regulators of lipid metabolism, energy homeostasis, and inflammation. They modulate the activation of peroxisome proliferator-activated receptors (PPARs) through intracellular trafficking of long-chain fatty acids.</w:t>
      </w:r>
    </w:p>
    <w:p>
      <w:pPr>
        <w:jc w:val="both"/>
      </w:pPr>
      <w:r>
        <w:rPr/>
        <w:t xml:space="preserve">3. Astrocytes, particularly those expressing FABP7, play a crucial role in amyotrophic lateral sclerosis (ALS), a neurodegenerative disease characterized by the loss of motor neurons. Astrocytes from ALS models induce motor neuron death in coculture, suggesting their involvement in determining motor neuron fate in ALS.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对于上述文章，我注意到以下几个问题：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偏见来源：文章引用了一些研究论文作为支持，但并未提及可能存在的偏见或潜在冲突利益。这可能导致读者对所呈现的结果和结论产生怀疑。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片面报道：文章只提到了两种药物（riluzole和edaravone）对于肌萎缩性侧索硬化症（ALS）的治疗效果，但并未提及其他可能的治疗方法或进展。这种片面报道可能会给读者留下不完整或误导性的印象。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缺失的考虑点：文章没有讨论与ALS相关的环境因素和遗传风险因素之间的潜在相互作用。这是一个重要的考虑点，可以帮助读者更全面地理解ALS的发病机制。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主张缺乏证据支持：文章提到神经胶质细胞在ALS模型中起着关键作用，并且来自不同ALS模型的神经胶质细胞在共培养中诱导运动神经元死亡。然而，文章没有提供足够的证据来支持这一主张，如具体实验结果或其他相关研究的引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未探索的反驳：文章没有提及可能存在的反对意见或争议观点。这种未探索的反驳可能导致读者对所呈现的结论产生怀疑，并限制了对该主题的全面理解。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宣传内容：文章中没有明确宣传任何特定产品或服务，但由于缺乏平衡报道和完整讨论，读者可能会认为某些治疗方法或观点是唯一有效或正确的选择。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上述文章存在一些潜在问题，包括偏见来源、片面报道、缺失的考虑点、主张缺乏证据支持、未探索的反驳和宣传内容。读者应该保持批判思维并寻找更全面和客观的信息来源来了解ALS和相关治疗方法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ALS treatment options beyond riluzole and edaravone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or conflicts of interest in the cited research papers
</w:t>
      </w:r>
    </w:p>
    <w:p>
      <w:pPr>
        <w:spacing w:after="0"/>
        <w:numPr>
          <w:ilvl w:val="0"/>
          <w:numId w:val="2"/>
        </w:numPr>
      </w:pPr>
      <w:r>
        <w:rPr/>
        <w:t xml:space="preserve">Interaction between environmental factors and genetic risk factors in ALS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role of glial cells in ALS and their induction of motor neuron death
</w:t>
      </w:r>
    </w:p>
    <w:p>
      <w:pPr>
        <w:spacing w:after="0"/>
        <w:numPr>
          <w:ilvl w:val="0"/>
          <w:numId w:val="2"/>
        </w:numPr>
      </w:pPr>
      <w:r>
        <w:rPr/>
        <w:t xml:space="preserve">Contradictory opinions or controversial viewpoints on ALS treatment and mechanisms
</w:t>
      </w:r>
    </w:p>
    <w:p>
      <w:pPr>
        <w:numPr>
          <w:ilvl w:val="0"/>
          <w:numId w:val="2"/>
        </w:numPr>
      </w:pPr>
      <w:r>
        <w:rPr/>
        <w:t xml:space="preserve">Balanced and comprehensive information on ALS and its treatment options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https://www.fullpicture.app/item/66bfd1c9ce93db8d3ca0a98ffc5330ec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A93B4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full/10.1002/glia.23879" TargetMode="External"/><Relationship Id="rId8" Type="http://schemas.openxmlformats.org/officeDocument/2006/relationships/hyperlink" Target="https://www.fullpicture.app/item/66bfd1c9ce93db8d3ca0a98ffc5330e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2024-01-20T02:02:23+01:00</dcterms:created>
  <dcterms:modified xsi:type="dcterms:W3CDTF">2024-01-20T02:02:23+01:00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