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TCF – Transparency &amp; Consent Framework - IAB Europe</w:t>
      </w:r>
      <w:br/>
      <w:hyperlink r:id="rId7" w:history="1">
        <w:r>
          <w:rPr>
            <w:color w:val="2980b9"/>
            <w:u w:val="single"/>
          </w:rPr>
          <w:t xml:space="preserve">https://iabeurope.eu/transparency-consent-framework/</w:t>
        </w:r>
      </w:hyperlink>
    </w:p>
    <w:p>
      <w:pPr>
        <w:pStyle w:val="Heading1"/>
      </w:pPr>
      <w:bookmarkStart w:id="2" w:name="_Toc2"/>
      <w:r>
        <w:t>Article summary:</w:t>
      </w:r>
      <w:bookmarkEnd w:id="2"/>
    </w:p>
    <w:p>
      <w:pPr>
        <w:jc w:val="both"/>
      </w:pPr>
      <w:r>
        <w:rPr/>
        <w:t xml:space="preserve">1. The Transparency &amp; Consent Framework (TCF) was launched by IAB Europe in response to the General Data Protection Regulation (GDPR) to provide greater control and transparency over personal data.</w:t>
      </w:r>
    </w:p>
    <w:p>
      <w:pPr>
        <w:jc w:val="both"/>
      </w:pPr>
      <w:r>
        <w:rPr/>
        <w:t xml:space="preserve">2. TCF has undergone several updates, with the latest version being TCF v2.2, which includes iterations based on industry needs and compliance requirements.</w:t>
      </w:r>
    </w:p>
    <w:p>
      <w:pPr>
        <w:jc w:val="both"/>
      </w:pPr>
      <w:r>
        <w:rPr/>
        <w:t xml:space="preserve">3. TCF is a voluntary standard that can be used by publishers, vendors, and consent management platforms to facilitate compliance with privacy laws and provide users with standardized privacy choices.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overview of the Transparency &amp; Consent Framework (TCF) developed by IAB Europe in response to the General Data Protection Regulation (GDPR). It highlights the purpose of the TCF, its evolution through different versions, and its application to various stakeholders in the online industry.</w:t>
      </w:r>
    </w:p>
    <w:p>
      <w:pPr>
        <w:jc w:val="both"/>
      </w:pPr>
      <w:r>
        <w:rPr/>
        <w:t xml:space="preserve"/>
      </w:r>
    </w:p>
    <w:p>
      <w:pPr>
        <w:jc w:val="both"/>
      </w:pPr>
      <w:r>
        <w:rPr/>
        <w:t xml:space="preserve">One potential bias in the article is its focus on promoting the TCF as a voluntary standard that facilitates compliance with privacy laws. The article emphasizes the collaborative effort and extensive industry consultation that went into developing and updating the TCF. However, it does not provide a balanced view of potential criticisms or challenges associated with the framework.</w:t>
      </w:r>
    </w:p>
    <w:p>
      <w:pPr>
        <w:jc w:val="both"/>
      </w:pPr>
      <w:r>
        <w:rPr/>
        <w:t xml:space="preserve"/>
      </w:r>
    </w:p>
    <w:p>
      <w:pPr>
        <w:jc w:val="both"/>
      </w:pPr>
      <w:r>
        <w:rPr/>
        <w:t xml:space="preserve">The article also lacks specific evidence or examples to support its claims about how the TCF meets the needs of users, industry, and regulators. It mentions that the TCF applies principles derived from legislative instruments like the ePrivacy Directive and GDPR but does not provide concrete examples of how it achieves this.</w:t>
      </w:r>
    </w:p>
    <w:p>
      <w:pPr>
        <w:jc w:val="both"/>
      </w:pPr>
      <w:r>
        <w:rPr/>
        <w:t xml:space="preserve"/>
      </w:r>
    </w:p>
    <w:p>
      <w:pPr>
        <w:jc w:val="both"/>
      </w:pPr>
      <w:r>
        <w:rPr/>
        <w:t xml:space="preserve">Additionally, there is a lack of discussion about potential risks or limitations of relying on a voluntary standard like the TCF. The article does not address concerns about potential loopholes or non-compliance by stakeholders, nor does it explore alternative approaches to achieving transparency and consent in online advertising.</w:t>
      </w:r>
    </w:p>
    <w:p>
      <w:pPr>
        <w:jc w:val="both"/>
      </w:pPr>
      <w:r>
        <w:rPr/>
        <w:t xml:space="preserve"/>
      </w:r>
    </w:p>
    <w:p>
      <w:pPr>
        <w:jc w:val="both"/>
      </w:pPr>
      <w:r>
        <w:rPr/>
        <w:t xml:space="preserve">Furthermore, while the article briefly mentions that publishers, vendors, and consent management platforms (CMPs) are welcome to use the TCF regardless of their membership status with IAB Europe, it does not delve into any potential conflicts of interest or biases that may arise from IAB Europe's involvement in developing and maintaining the framework.</w:t>
      </w:r>
    </w:p>
    <w:p>
      <w:pPr>
        <w:jc w:val="both"/>
      </w:pPr>
      <w:r>
        <w:rPr/>
        <w:t xml:space="preserve"/>
      </w:r>
    </w:p>
    <w:p>
      <w:pPr>
        <w:jc w:val="both"/>
      </w:pPr>
      <w:r>
        <w:rPr/>
        <w:t xml:space="preserve">Overall, this article presents a one-sided perspective on the TCF without adequately addressing potential criticisms or providing sufficient evidence for its claims. It lacks a comprehensive analysis of alternative approaches and fails to acknowledge potential risks associated with relying on a voluntary standard.</w:t>
      </w:r>
    </w:p>
    <w:p>
      <w:pPr>
        <w:pStyle w:val="Heading1"/>
      </w:pPr>
      <w:bookmarkStart w:id="5" w:name="_Toc5"/>
      <w:r>
        <w:t>Topics for further research:</w:t>
      </w:r>
      <w:bookmarkEnd w:id="5"/>
    </w:p>
    <w:p>
      <w:pPr>
        <w:spacing w:after="0"/>
        <w:numPr>
          <w:ilvl w:val="0"/>
          <w:numId w:val="2"/>
        </w:numPr>
      </w:pPr>
      <w:r>
        <w:rPr/>
        <w:t xml:space="preserve">Criticisms of the Transparency &amp; Consent Framework (TCF) in online advertising
</w:t>
      </w:r>
    </w:p>
    <w:p>
      <w:pPr>
        <w:spacing w:after="0"/>
        <w:numPr>
          <w:ilvl w:val="0"/>
          <w:numId w:val="2"/>
        </w:numPr>
      </w:pPr>
      <w:r>
        <w:rPr/>
        <w:t xml:space="preserve">Limitations and risks of relying on a voluntary standard like the TCF
</w:t>
      </w:r>
    </w:p>
    <w:p>
      <w:pPr>
        <w:spacing w:after="0"/>
        <w:numPr>
          <w:ilvl w:val="0"/>
          <w:numId w:val="2"/>
        </w:numPr>
      </w:pPr>
      <w:r>
        <w:rPr/>
        <w:t xml:space="preserve">Alternative approaches to achieving transparency and consent in online advertising
</w:t>
      </w:r>
    </w:p>
    <w:p>
      <w:pPr>
        <w:spacing w:after="0"/>
        <w:numPr>
          <w:ilvl w:val="0"/>
          <w:numId w:val="2"/>
        </w:numPr>
      </w:pPr>
      <w:r>
        <w:rPr/>
        <w:t xml:space="preserve">Potential loopholes or non-compliance issues with the TCF
</w:t>
      </w:r>
    </w:p>
    <w:p>
      <w:pPr>
        <w:spacing w:after="0"/>
        <w:numPr>
          <w:ilvl w:val="0"/>
          <w:numId w:val="2"/>
        </w:numPr>
      </w:pPr>
      <w:r>
        <w:rPr/>
        <w:t xml:space="preserve">Conflicts of interest or biases associated with IAB Europe's involvement in the TCF
</w:t>
      </w:r>
    </w:p>
    <w:p>
      <w:pPr>
        <w:spacing w:after="0"/>
        <w:numPr>
          <w:ilvl w:val="0"/>
          <w:numId w:val="2"/>
        </w:numPr>
      </w:pPr>
      <w:r>
        <w:rPr/>
        <w:t xml:space="preserve">Examples of how the TCF meets the needs of users</w:t>
      </w:r>
    </w:p>
    <w:p>
      <w:pPr>
        <w:spacing w:after="0"/>
        <w:numPr>
          <w:ilvl w:val="0"/>
          <w:numId w:val="2"/>
        </w:numPr>
      </w:pPr>
      <w:r>
        <w:rPr/>
        <w:t xml:space="preserve">industry</w:t>
      </w:r>
    </w:p>
    <w:p>
      <w:pPr>
        <w:numPr>
          <w:ilvl w:val="0"/>
          <w:numId w:val="2"/>
        </w:numPr>
      </w:pPr>
      <w:r>
        <w:rPr/>
        <w:t xml:space="preserve">and regulators.</w:t>
      </w:r>
    </w:p>
    <w:p>
      <w:pPr>
        <w:pStyle w:val="Heading1"/>
      </w:pPr>
      <w:bookmarkStart w:id="6" w:name="_Toc6"/>
      <w:r>
        <w:t>Report location:</w:t>
      </w:r>
      <w:bookmarkEnd w:id="6"/>
    </w:p>
    <w:p>
      <w:hyperlink r:id="rId8" w:history="1">
        <w:r>
          <w:rPr>
            <w:color w:val="2980b9"/>
            <w:u w:val="single"/>
          </w:rPr>
          <w:t xml:space="preserve">https://www.fullpicture.app/item/64590abba28a8648a16a4a14d748b522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ECDD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abeurope.eu/transparency-consent-framework/" TargetMode="External"/><Relationship Id="rId8" Type="http://schemas.openxmlformats.org/officeDocument/2006/relationships/hyperlink" Target="https://www.fullpicture.app/item/64590abba28a8648a16a4a14d748b5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2024-04-04T13:15:58+02:00</dcterms:created>
  <dcterms:modified xsi:type="dcterms:W3CDTF">2024-04-04T13:15:58+02:00</dcterms:modified>
</cp:coreProperties>
</file>

<file path=docProps/custom.xml><?xml version="1.0" encoding="utf-8"?>
<Properties xmlns="http://schemas.openxmlformats.org/officeDocument/2006/custom-properties" xmlns:vt="http://schemas.openxmlformats.org/officeDocument/2006/docPropsVTypes"/>
</file>