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Severe COVID-19 induces autoantibodies against angiotensin II that correlate with blood pressure dysregulation and disease severity | Science Advances</w:t>
      </w:r>
      <w:br/>
      <w:hyperlink r:id="rId7" w:history="1">
        <w:r>
          <w:rPr>
            <w:color w:val="2980b9"/>
            <w:u w:val="single"/>
          </w:rPr>
          <w:t xml:space="preserve">https://www.science.org/doi/10.1126/sciadv.abn3777?cookieSet=1</w:t>
        </w:r>
      </w:hyperlink>
    </w:p>
    <w:p>
      <w:pPr>
        <w:pStyle w:val="Heading1"/>
      </w:pPr>
      <w:bookmarkStart w:id="2" w:name="_Toc2"/>
      <w:r>
        <w:t>Article summary:</w:t>
      </w:r>
      <w:bookmarkEnd w:id="2"/>
    </w:p>
    <w:p>
      <w:pPr>
        <w:jc w:val="both"/>
      </w:pPr>
      <w:r>
        <w:rPr/>
        <w:t xml:space="preserve">1. COVID-19患者中出现了自身抗体反应，针对血管紧张素II（AngII）。</w:t>
      </w:r>
    </w:p>
    <w:p>
      <w:pPr>
        <w:jc w:val="both"/>
      </w:pPr>
      <w:r>
        <w:rPr/>
        <w:t xml:space="preserve">2. 这些自身抗体与血压失调和疾病严重程度相关。</w:t>
      </w:r>
    </w:p>
    <w:p>
      <w:pPr>
        <w:jc w:val="both"/>
      </w:pPr>
      <w:r>
        <w:rPr/>
        <w:t xml:space="preserve">3. 自身抗体可能是由于SARS-CoV-2蛋白质Spike或受体结合域（RBD）的特定免疫反应引起的，这些蛋白质可以与AngII交叉结合。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作为一篇科学研究论文，该文章提供了有关COVID-19患者自身抗体反应的新见解。然而，它也存在一些潜在的偏见和局限性。</w:t>
      </w:r>
    </w:p>
    <w:p>
      <w:pPr>
        <w:jc w:val="both"/>
      </w:pPr>
      <w:r>
        <w:rPr/>
        <w:t xml:space="preserve"/>
      </w:r>
    </w:p>
    <w:p>
      <w:pPr>
        <w:jc w:val="both"/>
      </w:pPr>
      <w:r>
        <w:rPr/>
        <w:t xml:space="preserve">首先，文章没有考虑到可能存在其他因素导致血压失调和疾病严重程度的影响。例如，COVID-19患者可能同时存在其他健康问题或正在接受药物治疗，这些因素可能会干扰结果的解释。</w:t>
      </w:r>
    </w:p>
    <w:p>
      <w:pPr>
        <w:jc w:val="both"/>
      </w:pPr>
      <w:r>
        <w:rPr/>
        <w:t xml:space="preserve"/>
      </w:r>
    </w:p>
    <w:p>
      <w:pPr>
        <w:jc w:val="both"/>
      </w:pPr>
      <w:r>
        <w:rPr/>
        <w:t xml:space="preserve">其次，文章没有探讨抗体反应对治疗和预防COVID-19的影响。尽管作者提到了SARS-CoV-2 Spike蛋白和RBD区域与AngII之间的表位模拟，但他们并没有进一步探讨这种相似性是否会影响COVID-19疫苗或治疗方法的开发。</w:t>
      </w:r>
    </w:p>
    <w:p>
      <w:pPr>
        <w:jc w:val="both"/>
      </w:pPr>
      <w:r>
        <w:rPr/>
        <w:t xml:space="preserve"/>
      </w:r>
    </w:p>
    <w:p>
      <w:pPr>
        <w:jc w:val="both"/>
      </w:pPr>
      <w:r>
        <w:rPr/>
        <w:t xml:space="preserve">此外，在描述抗体反应时，文章使用了“显著比例”的术语，但未提供具体数字或统计数据来支持这种说法。这使得读者难以评估结果的可靠性和重要性。</w:t>
      </w:r>
    </w:p>
    <w:p>
      <w:pPr>
        <w:jc w:val="both"/>
      </w:pPr>
      <w:r>
        <w:rPr/>
        <w:t xml:space="preserve"/>
      </w:r>
    </w:p>
    <w:p>
      <w:pPr>
        <w:jc w:val="both"/>
      </w:pPr>
      <w:r>
        <w:rPr/>
        <w:t xml:space="preserve">最后，在讨论中，作者强调了抗体反应如何影响血压调节，并暗示这可能是COVID-19导致血压失调和血栓形成的主要机制之一。然而，他们并没有探讨其他可能导致这些问题的生理机制或风险因素。</w:t>
      </w:r>
    </w:p>
    <w:p>
      <w:pPr>
        <w:jc w:val="both"/>
      </w:pPr>
      <w:r>
        <w:rPr/>
        <w:t xml:space="preserve"/>
      </w:r>
    </w:p>
    <w:p>
      <w:pPr>
        <w:jc w:val="both"/>
      </w:pPr>
      <w:r>
        <w:rPr/>
        <w:t xml:space="preserve">总之，虽然该文章提供了有关COVID-19患者自身抗体反应的新见解，但它也存在一些局限性和未经证实的主张。读者需要谨慎评估结果，并考虑其他可能影响结果解释的因素。</w:t>
      </w:r>
    </w:p>
    <w:p>
      <w:pPr>
        <w:pStyle w:val="Heading1"/>
      </w:pPr>
      <w:bookmarkStart w:id="5" w:name="_Toc5"/>
      <w:r>
        <w:t>Topics for further research:</w:t>
      </w:r>
      <w:bookmarkEnd w:id="5"/>
    </w:p>
    <w:p>
      <w:pPr>
        <w:spacing w:after="0"/>
        <w:numPr>
          <w:ilvl w:val="0"/>
          <w:numId w:val="2"/>
        </w:numPr>
      </w:pPr>
      <w:r>
        <w:rPr/>
        <w:t xml:space="preserve">Other factors affecting blood pressure and disease severity in COVID-19 patients
</w:t>
      </w:r>
    </w:p>
    <w:p>
      <w:pPr>
        <w:spacing w:after="0"/>
        <w:numPr>
          <w:ilvl w:val="0"/>
          <w:numId w:val="2"/>
        </w:numPr>
      </w:pPr>
      <w:r>
        <w:rPr/>
        <w:t xml:space="preserve">Impact of antibody response on COVID-19 treatment and prevention
</w:t>
      </w:r>
    </w:p>
    <w:p>
      <w:pPr>
        <w:spacing w:after="0"/>
        <w:numPr>
          <w:ilvl w:val="0"/>
          <w:numId w:val="2"/>
        </w:numPr>
      </w:pPr>
      <w:r>
        <w:rPr/>
        <w:t xml:space="preserve">Lack of specific statistics or data to support significant proportion claims
</w:t>
      </w:r>
    </w:p>
    <w:p>
      <w:pPr>
        <w:spacing w:after="0"/>
        <w:numPr>
          <w:ilvl w:val="0"/>
          <w:numId w:val="2"/>
        </w:numPr>
      </w:pPr>
      <w:r>
        <w:rPr/>
        <w:t xml:space="preserve">Other physiological mechanisms or risk factors for COVID-19-related blood pressure dysregulation and thrombosis
</w:t>
      </w:r>
    </w:p>
    <w:p>
      <w:pPr>
        <w:spacing w:after="0"/>
        <w:numPr>
          <w:ilvl w:val="0"/>
          <w:numId w:val="2"/>
        </w:numPr>
      </w:pPr>
      <w:r>
        <w:rPr/>
        <w:t xml:space="preserve">Limitations and potential biases in the study
</w:t>
      </w:r>
    </w:p>
    <w:p>
      <w:pPr>
        <w:numPr>
          <w:ilvl w:val="0"/>
          <w:numId w:val="2"/>
        </w:numPr>
      </w:pPr>
      <w:r>
        <w:rPr/>
        <w:t xml:space="preserve">Need for cautious interpretation and consideration of alternative explanations for results.</w:t>
      </w:r>
    </w:p>
    <w:p>
      <w:pPr>
        <w:pStyle w:val="Heading1"/>
      </w:pPr>
      <w:bookmarkStart w:id="6" w:name="_Toc6"/>
      <w:r>
        <w:t>Report location:</w:t>
      </w:r>
      <w:bookmarkEnd w:id="6"/>
    </w:p>
    <w:p>
      <w:hyperlink r:id="rId8" w:history="1">
        <w:r>
          <w:rPr>
            <w:color w:val="2980b9"/>
            <w:u w:val="single"/>
          </w:rPr>
          <w:t xml:space="preserve">https://www.fullpicture.app/item/61fe8046eb1479b9c2c7143287fe869c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502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n3777?cookieSet=1" TargetMode="External"/><Relationship Id="rId8" Type="http://schemas.openxmlformats.org/officeDocument/2006/relationships/hyperlink" Target="https://www.fullpicture.app/item/61fe8046eb1479b9c2c7143287fe86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2023-12-12T12:02:08+01:00</dcterms:created>
  <dcterms:modified xsi:type="dcterms:W3CDTF">2023-12-12T12:02:08+01:00</dcterms:modified>
</cp:coreProperties>
</file>

<file path=docProps/custom.xml><?xml version="1.0" encoding="utf-8"?>
<Properties xmlns="http://schemas.openxmlformats.org/officeDocument/2006/custom-properties" xmlns:vt="http://schemas.openxmlformats.org/officeDocument/2006/docPropsVTypes"/>
</file>