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March 7, 2023 - Leaders/Laggards</w:t>
      </w:r>
      <w:br/>
      <w:hyperlink r:id="rId7" w:history="1">
        <w:r>
          <w:rPr>
            <w:color w:val="2980b9"/>
            <w:u w:val="single"/>
          </w:rPr>
          <w:t xml:space="preserve">https://www.leadlagreport.com/articles/march-7-2023-leaderslaggards</w:t>
        </w:r>
      </w:hyperlink>
    </w:p>
    <w:p>
      <w:pPr>
        <w:pStyle w:val="Heading1"/>
      </w:pPr>
      <w:bookmarkStart w:id="2" w:name="_Toc2"/>
      <w:r>
        <w:t>Article summary:</w:t>
      </w:r>
      <w:bookmarkEnd w:id="2"/>
    </w:p>
    <w:p>
      <w:pPr>
        <w:jc w:val="both"/>
      </w:pPr>
      <w:r>
        <w:rPr/>
        <w:t xml:space="preserve">1. Industrials stocks reflect the slow return to expansion in global manufacturing, but it remains to be seen whether this is a blip or a trend.</w:t>
      </w:r>
    </w:p>
    <w:p>
      <w:pPr>
        <w:jc w:val="both"/>
      </w:pPr>
      <w:r>
        <w:rPr/>
        <w:t xml:space="preserve">2. Despite expectations for higher rates throughout 2023, technology has consistently been one of this year’s biggest winners and could continue to outperform.</w:t>
      </w:r>
    </w:p>
    <w:p>
      <w:pPr>
        <w:jc w:val="both"/>
      </w:pPr>
      <w:r>
        <w:rPr/>
        <w:t xml:space="preserve">3. The bond market is predicting more rate hikes than equity investors seem to believe, with the yield curve continuing to adjust higher.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assessment of the performance of various sectors and asset classes, highlighting their relative strengths and weaknesses. However, there are several potential biases and limitations in the analysis.</w:t>
      </w:r>
    </w:p>
    <w:p>
      <w:pPr>
        <w:jc w:val="both"/>
      </w:pPr>
      <w:r>
        <w:rPr/>
        <w:t xml:space="preserve"/>
      </w:r>
    </w:p>
    <w:p>
      <w:pPr>
        <w:jc w:val="both"/>
      </w:pPr>
      <w:r>
        <w:rPr/>
        <w:t xml:space="preserve">Firstly, the article focuses primarily on price ratios, which may not provide a complete picture of market dynamics. Other factors such as volume, volatility, and market sentiment can also impact performance.</w:t>
      </w:r>
    </w:p>
    <w:p>
      <w:pPr>
        <w:jc w:val="both"/>
      </w:pPr>
      <w:r>
        <w:rPr/>
        <w:t xml:space="preserve"/>
      </w:r>
    </w:p>
    <w:p>
      <w:pPr>
        <w:jc w:val="both"/>
      </w:pPr>
      <w:r>
        <w:rPr/>
        <w:t xml:space="preserve">Secondly, the article relies heavily on short-term trends and recent news events to make predictions about future market direction. This approach may overlook longer-term structural factors that could impact performance.</w:t>
      </w:r>
    </w:p>
    <w:p>
      <w:pPr>
        <w:jc w:val="both"/>
      </w:pPr>
      <w:r>
        <w:rPr/>
        <w:t xml:space="preserve"/>
      </w:r>
    </w:p>
    <w:p>
      <w:pPr>
        <w:jc w:val="both"/>
      </w:pPr>
      <w:r>
        <w:rPr/>
        <w:t xml:space="preserve">Thirdly, the article appears to have a bullish bias towards certain sectors such as technology and emerging markets debt while being more cautious towards others such as consumer discretionary and real estate. This bias may be influenced by the author's personal investment preferences or other external factors.</w:t>
      </w:r>
    </w:p>
    <w:p>
      <w:pPr>
        <w:jc w:val="both"/>
      </w:pPr>
      <w:r>
        <w:rPr/>
        <w:t xml:space="preserve"/>
      </w:r>
    </w:p>
    <w:p>
      <w:pPr>
        <w:jc w:val="both"/>
      </w:pPr>
      <w:r>
        <w:rPr/>
        <w:t xml:space="preserve">Fourthly, the article does not explore potential counterarguments or risks associated with its predictions. For example, it assumes that rising interest rates will have a negative impact on consumer spending without considering other factors such as wage growth or inflation.</w:t>
      </w:r>
    </w:p>
    <w:p>
      <w:pPr>
        <w:jc w:val="both"/>
      </w:pPr>
      <w:r>
        <w:rPr/>
        <w:t xml:space="preserve"/>
      </w:r>
    </w:p>
    <w:p>
      <w:pPr>
        <w:jc w:val="both"/>
      </w:pPr>
      <w:r>
        <w:rPr/>
        <w:t xml:space="preserve">Overall, while the article provides some useful insights into market performance, readers should approach its predictions with caution and consider additional sources of information before making investment decisions.</w:t>
      </w:r>
    </w:p>
    <w:p>
      <w:pPr>
        <w:pStyle w:val="Heading1"/>
      </w:pPr>
      <w:bookmarkStart w:id="5" w:name="_Toc5"/>
      <w:r>
        <w:t>Topics for further research:</w:t>
      </w:r>
      <w:bookmarkEnd w:id="5"/>
    </w:p>
    <w:p>
      <w:pPr>
        <w:spacing w:after="0"/>
        <w:numPr>
          <w:ilvl w:val="0"/>
          <w:numId w:val="2"/>
        </w:numPr>
      </w:pPr>
      <w:r>
        <w:rPr/>
        <w:t xml:space="preserve">Long-term market trends and structural factors
</w:t>
      </w:r>
    </w:p>
    <w:p>
      <w:pPr>
        <w:spacing w:after="0"/>
        <w:numPr>
          <w:ilvl w:val="0"/>
          <w:numId w:val="2"/>
        </w:numPr>
      </w:pPr>
      <w:r>
        <w:rPr/>
        <w:t xml:space="preserve">Impact of volume</w:t>
      </w:r>
    </w:p>
    <w:p>
      <w:pPr>
        <w:spacing w:after="0"/>
        <w:numPr>
          <w:ilvl w:val="0"/>
          <w:numId w:val="2"/>
        </w:numPr>
      </w:pPr>
      <w:r>
        <w:rPr/>
        <w:t xml:space="preserve">volatility</w:t>
      </w:r>
    </w:p>
    <w:p>
      <w:pPr>
        <w:spacing w:after="0"/>
        <w:numPr>
          <w:ilvl w:val="0"/>
          <w:numId w:val="2"/>
        </w:numPr>
      </w:pPr>
      <w:r>
        <w:rPr/>
        <w:t xml:space="preserve">and market sentiment on performance
</w:t>
      </w:r>
    </w:p>
    <w:p>
      <w:pPr>
        <w:spacing w:after="0"/>
        <w:numPr>
          <w:ilvl w:val="0"/>
          <w:numId w:val="2"/>
        </w:numPr>
      </w:pPr>
      <w:r>
        <w:rPr/>
        <w:t xml:space="preserve">Counterarguments and potential risks associated with market predictions
</w:t>
      </w:r>
    </w:p>
    <w:p>
      <w:pPr>
        <w:spacing w:after="0"/>
        <w:numPr>
          <w:ilvl w:val="0"/>
          <w:numId w:val="2"/>
        </w:numPr>
      </w:pPr>
      <w:r>
        <w:rPr/>
        <w:t xml:space="preserve">Factors influencing consumer spending beyond rising interest rates
</w:t>
      </w:r>
    </w:p>
    <w:p>
      <w:pPr>
        <w:spacing w:after="0"/>
        <w:numPr>
          <w:ilvl w:val="0"/>
          <w:numId w:val="2"/>
        </w:numPr>
      </w:pPr>
      <w:r>
        <w:rPr/>
        <w:t xml:space="preserve">Diversification strategies for investment portfolios
</w:t>
      </w:r>
    </w:p>
    <w:p>
      <w:pPr>
        <w:numPr>
          <w:ilvl w:val="0"/>
          <w:numId w:val="2"/>
        </w:numPr>
      </w:pPr>
      <w:r>
        <w:rPr/>
        <w:t xml:space="preserve">Historical performance of various asset classes in different market conditions</w:t>
      </w:r>
    </w:p>
    <w:p>
      <w:pPr>
        <w:pStyle w:val="Heading1"/>
      </w:pPr>
      <w:bookmarkStart w:id="6" w:name="_Toc6"/>
      <w:r>
        <w:t>Report location:</w:t>
      </w:r>
      <w:bookmarkEnd w:id="6"/>
    </w:p>
    <w:p>
      <w:hyperlink r:id="rId8" w:history="1">
        <w:r>
          <w:rPr>
            <w:color w:val="2980b9"/>
            <w:u w:val="single"/>
          </w:rPr>
          <w:t xml:space="preserve">https://www.fullpicture.app/item/5f9e883071df61577e370365eac8cee4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8A4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adlagreport.com/articles/march-7-2023-leaderslaggards" TargetMode="External"/><Relationship Id="rId8" Type="http://schemas.openxmlformats.org/officeDocument/2006/relationships/hyperlink" Target="https://www.fullpicture.app/item/5f9e883071df61577e370365eac8ce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2023-06-14T12:32:51+02:00</dcterms:created>
  <dcterms:modified xsi:type="dcterms:W3CDTF">2023-06-14T12:32:51+02:00</dcterms:modified>
</cp:coreProperties>
</file>

<file path=docProps/custom.xml><?xml version="1.0" encoding="utf-8"?>
<Properties xmlns="http://schemas.openxmlformats.org/officeDocument/2006/custom-properties" xmlns:vt="http://schemas.openxmlformats.org/officeDocument/2006/docPropsVTypes"/>
</file>