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immunopathogenesis and Immunotherapeutics | Signal Transduction and Targeted Therapy</w:t>
      </w:r>
      <w:br/>
      <w:hyperlink r:id="rId7" w:history="1">
        <w:r>
          <w:rPr>
            <w:color w:val="2980b9"/>
            <w:u w:val="single"/>
          </w:rPr>
          <w:t xml:space="preserve">https://www.nature.com/articles/s41392-020-00243-2</w:t>
        </w:r>
      </w:hyperlink>
    </w:p>
    <w:p>
      <w:pPr>
        <w:pStyle w:val="Heading1"/>
      </w:pPr>
      <w:bookmarkStart w:id="2" w:name="_Toc2"/>
      <w:r>
        <w:t>Article summary:</w:t>
      </w:r>
      <w:bookmarkEnd w:id="2"/>
    </w:p>
    <w:p>
      <w:pPr>
        <w:jc w:val="both"/>
      </w:pPr>
      <w:r>
        <w:rPr/>
        <w:t xml:space="preserve">1. COVID-19 disrupts normal immune responses, leading to lymphopenia, lymphocyte activation and dysfunction, granulocyte and monocyte abnormalities, high cytokine levels, and an increase in immunoglobulin G (IgG) and total antibodies.</w:t>
      </w:r>
    </w:p>
    <w:p>
      <w:pPr>
        <w:jc w:val="both"/>
      </w:pPr>
      <w:r>
        <w:rPr/>
        <w:t xml:space="preserve">2. Lymphopenia is a key feature of patients with COVID-19, especially in severe cases. Patients also show a marked reduction in CD4+ T, CD8+ T, NK, and B cell number.</w:t>
      </w:r>
    </w:p>
    <w:p>
      <w:pPr>
        <w:jc w:val="both"/>
      </w:pPr>
      <w:r>
        <w:rPr/>
        <w:t xml:space="preserve">3. Most severe COVID-19 cases exhibit an extreme increase in inflammatory cytokines, including IL-1β, IL-2, IL-6, IL-7, IL-8, IL-10, granulocyte-colony stimulating factor (G-CSF), granulocyte macrophage-colony stimulating factor (GM-CSF), interferon-inducible protein-10 (IP10), monocyte chemotactic protein 1 (MCP1), macrophage inflammation protein-1α, IFN-γ, and TNF-α representing a “cytokine storm”.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"COVID-19: immunopathogenesis and Immunotherapeutics" provides a comprehensive overview of the immune characteristics of COVID-19 and their potential implications for treatment. The article is well-researched and provides a detailed analysis of the available evidence on the topic.</w:t>
      </w:r>
    </w:p>
    <w:p>
      <w:pPr>
        <w:jc w:val="both"/>
      </w:pPr>
      <w:r>
        <w:rPr/>
        <w:t xml:space="preserve"/>
      </w:r>
    </w:p>
    <w:p>
      <w:pPr>
        <w:jc w:val="both"/>
      </w:pPr>
      <w:r>
        <w:rPr/>
        <w:t xml:space="preserve">One potential bias in the article is that it focuses primarily on severe cases of COVID-19, which may not be representative of all cases. While the article acknowledges that lymphopenia and other immune abnormalities are also present in non-severe cases, it primarily focuses on severe cases. This could lead to an overemphasis on the severity of the disease and potentially overlook important aspects of milder cases.</w:t>
      </w:r>
    </w:p>
    <w:p>
      <w:pPr>
        <w:jc w:val="both"/>
      </w:pPr>
      <w:r>
        <w:rPr/>
        <w:t xml:space="preserve"/>
      </w:r>
    </w:p>
    <w:p>
      <w:pPr>
        <w:jc w:val="both"/>
      </w:pPr>
      <w:r>
        <w:rPr/>
        <w:t xml:space="preserve">Another potential bias is that the article primarily focuses on immune characteristics as potential biomarkers for disease progression and therapeutic targets. While this is an important aspect to consider, it may overlook other factors that contribute to disease progression or recovery, such as comorbidities or age.</w:t>
      </w:r>
    </w:p>
    <w:p>
      <w:pPr>
        <w:jc w:val="both"/>
      </w:pPr>
      <w:r>
        <w:rPr/>
        <w:t xml:space="preserve"/>
      </w:r>
    </w:p>
    <w:p>
      <w:pPr>
        <w:jc w:val="both"/>
      </w:pPr>
      <w:r>
        <w:rPr/>
        <w:t xml:space="preserve">The article does a good job of presenting both sides of some arguments, such as whether lymphopenia can be used as an accurate diagnostic tool for COVID-19. However, there are some areas where counterarguments or alternative perspectives could have been explored further. For example, while the article discusses the potential use of immunomodulatory therapies for COVID-19, it does not explore any potential risks associated with these treatments.</w:t>
      </w:r>
    </w:p>
    <w:p>
      <w:pPr>
        <w:jc w:val="both"/>
      </w:pPr>
      <w:r>
        <w:rPr/>
        <w:t xml:space="preserve"/>
      </w:r>
    </w:p>
    <w:p>
      <w:pPr>
        <w:jc w:val="both"/>
      </w:pPr>
      <w:r>
        <w:rPr/>
        <w:t xml:space="preserve">Overall, "COVID-19: immunopathogenesis and Immunotherapeutics" provides a thorough analysis of the immune characteristics of COVID-19 and their potential implications for treatment. However, readers should be aware of its potential biases towards severe cases and its focus on immune characteristics as biomarkers and therapeutic targets.</w:t>
      </w:r>
    </w:p>
    <w:p>
      <w:pPr>
        <w:pStyle w:val="Heading1"/>
      </w:pPr>
      <w:bookmarkStart w:id="5" w:name="_Toc5"/>
      <w:r>
        <w:t>Topics for further research:</w:t>
      </w:r>
      <w:bookmarkEnd w:id="5"/>
    </w:p>
    <w:p>
      <w:pPr>
        <w:spacing w:after="0"/>
        <w:numPr>
          <w:ilvl w:val="0"/>
          <w:numId w:val="2"/>
        </w:numPr>
      </w:pPr>
      <w:r>
        <w:rPr/>
        <w:t xml:space="preserve">Risks associated with immunomodulatory therapies for COVID-19
</w:t>
      </w:r>
    </w:p>
    <w:p>
      <w:pPr>
        <w:spacing w:after="0"/>
        <w:numPr>
          <w:ilvl w:val="0"/>
          <w:numId w:val="2"/>
        </w:numPr>
      </w:pPr>
      <w:r>
        <w:rPr/>
        <w:t xml:space="preserve">Comorbidities and COVID-19 progression
</w:t>
      </w:r>
    </w:p>
    <w:p>
      <w:pPr>
        <w:spacing w:after="0"/>
        <w:numPr>
          <w:ilvl w:val="0"/>
          <w:numId w:val="2"/>
        </w:numPr>
      </w:pPr>
      <w:r>
        <w:rPr/>
        <w:t xml:space="preserve">Age and COVID-19 severity
</w:t>
      </w:r>
    </w:p>
    <w:p>
      <w:pPr>
        <w:spacing w:after="0"/>
        <w:numPr>
          <w:ilvl w:val="0"/>
          <w:numId w:val="2"/>
        </w:numPr>
      </w:pPr>
      <w:r>
        <w:rPr/>
        <w:t xml:space="preserve">Immune characteristics of mild COVID-19 cases
</w:t>
      </w:r>
    </w:p>
    <w:p>
      <w:pPr>
        <w:spacing w:after="0"/>
        <w:numPr>
          <w:ilvl w:val="0"/>
          <w:numId w:val="2"/>
        </w:numPr>
      </w:pPr>
      <w:r>
        <w:rPr/>
        <w:t xml:space="preserve">Accuracy of lymphopenia as a diagnostic tool for COVID-19
</w:t>
      </w:r>
    </w:p>
    <w:p>
      <w:pPr>
        <w:numPr>
          <w:ilvl w:val="0"/>
          <w:numId w:val="2"/>
        </w:numPr>
      </w:pPr>
      <w:r>
        <w:rPr/>
        <w:t xml:space="preserve">Long-term effects of COVID-19 on the immune system</w:t>
      </w:r>
    </w:p>
    <w:p>
      <w:pPr>
        <w:pStyle w:val="Heading1"/>
      </w:pPr>
      <w:bookmarkStart w:id="6" w:name="_Toc6"/>
      <w:r>
        <w:t>Report location:</w:t>
      </w:r>
      <w:bookmarkEnd w:id="6"/>
    </w:p>
    <w:p>
      <w:hyperlink r:id="rId8" w:history="1">
        <w:r>
          <w:rPr>
            <w:color w:val="2980b9"/>
            <w:u w:val="single"/>
          </w:rPr>
          <w:t xml:space="preserve">https://www.fullpicture.app/item/5d554f20b31abfc4184f028e2596f7ce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8A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2-020-00243-2" TargetMode="External"/><Relationship Id="rId8" Type="http://schemas.openxmlformats.org/officeDocument/2006/relationships/hyperlink" Target="https://www.fullpicture.app/item/5d554f20b31abfc4184f028e2596f7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2023-12-14T08:27:34+01:00</dcterms:created>
  <dcterms:modified xsi:type="dcterms:W3CDTF">2023-12-14T08:27:34+01:00</dcterms:modified>
</cp:coreProperties>
</file>

<file path=docProps/custom.xml><?xml version="1.0" encoding="utf-8"?>
<Properties xmlns="http://schemas.openxmlformats.org/officeDocument/2006/custom-properties" xmlns:vt="http://schemas.openxmlformats.org/officeDocument/2006/docPropsVTypes"/>
</file>