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模块化IPM机器改进的等效磁网络模型 IEEE 期刊和杂志 | IEEE探索</w:t>
      </w:r>
      <w:br/>
      <w:hyperlink r:id="rId7" w:history="1">
        <w:r>
          <w:rPr>
            <w:color w:val="2980b9"/>
            <w:u w:val="single"/>
          </w:rPr>
          <w:t xml:space="preserve">https://ieeexplore.ieee.org/abstract/document/9698219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本文开发了一个改进的等效磁网络（EMN）模型，用于分析模块化内置永磁（IPM）机器。该模型考虑了局部磁饱和，并将定子齿冠分为三个部分，使用不同形状的梯形来近似齿尖和中间部分。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文章提出了一种改进的气隙模型，将气隙磁网络分为三层。中间网络使用十字形网格单元来表示切向和径向通量的路径。顶层和底层由定子、转子边缘节点和中间网络节点之间的参数化非线性磁导组成。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通过有限元分析和实验测试的比较，验证了所提出的EMN模型在斜定子电机分析中的准确性和有效性。该模型可以保持结构不变，只需要修改底层的磁导，从而适应机器旋转时的变化。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偏见及其来源：文章没有提到任何可能存在的偏见或来源。然而，由于缺乏详细信息，很难确定作者是否有特定的偏见或利益冲突。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片面报道：文章主要关注了改进的等效磁网络模型（EMN）在模块化内置永磁（IPM）机器分析中的应用。然而，文章没有提及其他可能存在的模型或方法，并且没有对比分析结果与其他方法进行比较。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无根据的主张：文章声称所提出的EMN模型在有限元分析和实验测试中验证了其准确性和有效性。然而，文章没有提供具体的数据或结果来支持这些主张。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缺失的考虑点：文章没有讨论可能存在的局限性或假设，并且未提及任何与EMN模型相关的挑战或困难。此外，文章也没有讨论该模型在不同条件下的适用性。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所提出主张的缺失证据：尽管文章声称通过有限元分析和实验测试验证了EMN模型的准确性和有效性，但并未提供具体数据或结果来支持这些主张。因此，读者无法评估该模型的实际性能。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未探索的反驳：文章没有提及任何可能存在的反驳或争议观点，并且没有对这些观点进行讨论或回应。这可能导致读者对该模型的全面性和可靠性产生疑问。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宣传内容和偏袒：文章没有明确提到任何宣传内容或偏袒，但由于缺乏详细信息，很难确定作者是否有特定的倾向或目的。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是否注意到可能的风险：文章未提及任何与所提出模型相关的潜在风险或不确定性。这可能导致读者对该模型的可靠性和适用性产生疑虑。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没有平等地呈现双方：文章只关注了改进的EMN模型，并未探讨其他可能存在的方法或模型。这可能导致读者对整个领域中其他方法和模型的了解不足。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描述改进的EMN模型在IPM机器分析中的应用时缺乏详细信息和支持数据。此外，文章也没有全面考虑其他方法和模型，并未讨论潜在风险或不确定性。因此，读者需要谨慎评估该模型的可靠性和适用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文章中的偏见及其来源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文章的片面报道
</w:t>
      </w:r>
    </w:p>
    <w:p>
      <w:pPr>
        <w:spacing w:after="0"/>
        <w:numPr>
          <w:ilvl w:val="0"/>
          <w:numId w:val="2"/>
        </w:numPr>
      </w:pPr>
      <w:r>
        <w:rPr/>
        <w:t xml:space="preserve">文章中无根据的主张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文章中缺失的考虑点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文章中所提出主张的缺失证据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文章中未探索的反驳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文章中的宣传内容和偏袒
</w:t>
      </w:r>
    </w:p>
    <w:p>
      <w:pPr>
        <w:spacing w:after="0"/>
        <w:numPr>
          <w:ilvl w:val="0"/>
          <w:numId w:val="2"/>
        </w:numPr>
      </w:pPr>
      <w:r>
        <w:rPr/>
        <w:t xml:space="preserve">文章中是否注意到可能的风险
</w:t>
      </w:r>
    </w:p>
    <w:p>
      <w:pPr>
        <w:numPr>
          <w:ilvl w:val="0"/>
          <w:numId w:val="2"/>
        </w:numPr>
      </w:pPr>
      <w:r>
        <w:rPr/>
        <w:t xml:space="preserve">文章中没有平等地呈现双方的观点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https://www.fullpicture.app/item/5cd6cd9a1065d2651ddda9149c8b9ed2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D2346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abstract/document/9698219" TargetMode="External"/><Relationship Id="rId8" Type="http://schemas.openxmlformats.org/officeDocument/2006/relationships/hyperlink" Target="https://www.fullpicture.app/item/5cd6cd9a1065d2651ddda9149c8b9ed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2023-12-28T20:59:09+01:00</dcterms:created>
  <dcterms:modified xsi:type="dcterms:W3CDTF">2023-12-28T20:59:09+01:00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