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内营养因子对脂肪组织中不同细胞群的不同功能 - PubMed</w:t>
      </w:r>
      <w:br/>
      <w:hyperlink r:id="rId7" w:history="1">
        <w:r>
          <w:rPr>
            <w:color w:val="2980b9"/>
            <w:u w:val="single"/>
          </w:rPr>
          <w:t xml:space="preserve">https://pubmed.99885.net/27729337/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内营养因子（endotrophin）刺激3T3-L1脂肪细胞的纤维化和脂质积累。</w:t>
      </w:r>
    </w:p>
    <w:p>
      <w:pPr>
        <w:jc w:val="both"/>
      </w:pPr>
      <w:r>
        <w:rPr/>
        <w:t xml:space="preserve">2. 内营养因子对3T3-L1脂肪细胞中炎症基因和脂肪代谢相关基因的表达有影响。</w:t>
      </w:r>
    </w:p>
    <w:p>
      <w:pPr>
        <w:jc w:val="both"/>
      </w:pPr>
      <w:r>
        <w:rPr/>
        <w:t xml:space="preserve">3. 内营养因子处理后，3T3-L1脂肪细胞中的脂滴数量增加，并且导致游离脂肪酸和甘油水平的升高。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根据提供的文章内容，很难进行详细的批判性分析，因为只有一张图片和一些数据结果，并没有提供足够的背景信息和实验设计。然而，可以从以下几个方面提出一些潜在的问题和考虑点：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数据来源和样本选择：文章没有提供关于样本来源和选择的详细信息。这可能导致潜在的偏见，例如使用特定类型或品系的细胞株可能会影响结果的推广性。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实验设计：文章没有描述实验设计、对照组设置以及重复次数等关键信息。这使得难以评估实验可靠性和结果的统计学显著性。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结果解释：文章中提到了一些基因表达水平和蛋白质含量的变化，但并未给出这些变化对脂肪组织中不同细胞群功能的具体影响。缺乏进一步的功能研究限制了对结果解释和结论推断的理解。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缺失证据：文章未提供与所述发现相反或不支持其主张的任何证据。这可能导致片面报道，并且无法全面评估该主张是否具有普遍适用性。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风险评估：文章未明确提及可能的风险或潜在的副作用。这可能导致对研究结果的过度乐观解读，并忽略了潜在的负面影响。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根据提供的信息，很难对文章进行全面和详细的批判性分析。缺乏实验设计和方法描述、数据解释以及其他相关信息限制了对该研究的评估和结论推断。进一步的信息和背景知识是必要的，以便更好地理解该研究并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数据来源和样本选择
</w:t>
      </w:r>
    </w:p>
    <w:p>
      <w:pPr>
        <w:spacing w:after="0"/>
        <w:numPr>
          <w:ilvl w:val="0"/>
          <w:numId w:val="2"/>
        </w:numPr>
      </w:pPr>
      <w:r>
        <w:rPr/>
        <w:t xml:space="preserve">实验设计
</w:t>
      </w:r>
    </w:p>
    <w:p>
      <w:pPr>
        <w:spacing w:after="0"/>
        <w:numPr>
          <w:ilvl w:val="0"/>
          <w:numId w:val="2"/>
        </w:numPr>
      </w:pPr>
      <w:r>
        <w:rPr/>
        <w:t xml:space="preserve">结果解释
</w:t>
      </w:r>
    </w:p>
    <w:p>
      <w:pPr>
        <w:spacing w:after="0"/>
        <w:numPr>
          <w:ilvl w:val="0"/>
          <w:numId w:val="2"/>
        </w:numPr>
      </w:pPr>
      <w:r>
        <w:rPr/>
        <w:t xml:space="preserve">缺失证据
</w:t>
      </w:r>
    </w:p>
    <w:p>
      <w:pPr>
        <w:spacing w:after="0"/>
        <w:numPr>
          <w:ilvl w:val="0"/>
          <w:numId w:val="2"/>
        </w:numPr>
      </w:pPr>
      <w:r>
        <w:rPr/>
        <w:t xml:space="preserve">风险评估
</w:t>
      </w:r>
    </w:p>
    <w:p>
      <w:pPr>
        <w:numPr>
          <w:ilvl w:val="0"/>
          <w:numId w:val="2"/>
        </w:numPr>
      </w:pPr>
      <w:r>
        <w:rPr/>
        <w:t xml:space="preserve">进一步信息和背景知识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https://www.fullpicture.app/item/57baad1b5aca1fac496c4631042e9690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F41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99885.net/27729337/" TargetMode="External"/><Relationship Id="rId8" Type="http://schemas.openxmlformats.org/officeDocument/2006/relationships/hyperlink" Target="https://www.fullpicture.app/item/57baad1b5aca1fac496c4631042e969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2023-12-27T18:13:33+01:00</dcterms:created>
  <dcterms:modified xsi:type="dcterms:W3CDTF">2023-12-27T18:13:33+01:00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