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 Visual CRISPR Assay: A Naked-Eye Colorimetric Detection Method for Nucleic Acids Based on CRISPR/Cas12a and a Convolutional Neural Network - PMC</w:t>
      </w:r>
      <w:br/>
      <w:hyperlink r:id="rId7" w:history="1">
        <w:r>
          <w:rPr>
            <w:color w:val="2980b9"/>
            <w:u w:val="single"/>
          </w:rPr>
          <w:t xml:space="preserve">https://www.ncbi.nlm.nih.gov/pmc/articles/PMC8713390/</w:t>
        </w:r>
      </w:hyperlink>
    </w:p>
    <w:p>
      <w:pPr>
        <w:pStyle w:val="Heading1"/>
      </w:pPr>
      <w:bookmarkStart w:id="2" w:name="_Toc2"/>
      <w:r>
        <w:t>Article summary:</w:t>
      </w:r>
      <w:bookmarkEnd w:id="2"/>
    </w:p>
    <w:p>
      <w:pPr>
        <w:jc w:val="both"/>
      </w:pPr>
      <w:r>
        <w:rPr/>
        <w:t xml:space="preserve">1. 本研究开发了一种基于CRISPR/Cas12a和卷积神经网络的裸眼色谱检测方法，可用于核酸检测。</w:t>
      </w:r>
    </w:p>
    <w:p>
      <w:pPr>
        <w:jc w:val="both"/>
      </w:pPr>
      <w:r>
        <w:rPr/>
        <w:t xml:space="preserve">2. 研究评估了16种单链DNA-荧光素-猝灭剂(ssDNA-FQ)报告物的性能，并优化了反应浓度以实现裸眼读出结果。</w:t>
      </w:r>
    </w:p>
    <w:p>
      <w:pPr>
        <w:jc w:val="both"/>
      </w:pPr>
      <w:r>
        <w:rPr/>
        <w:t xml:space="preserve">3. 该方法被成功用于高灵敏度检测严重急性呼吸综合征冠状病毒2(SARS-CoV-2)和非洲猪瘟病毒(ASFV)，是一种快速、简便的检测平台。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作为一篇科学研究论文，该文章并没有明显的偏见或宣传内容。然而，它可能存在一些片面报道和缺失的考虑点。</w:t>
      </w:r>
    </w:p>
    <w:p>
      <w:pPr>
        <w:jc w:val="both"/>
      </w:pPr>
      <w:r>
        <w:rPr/>
        <w:t xml:space="preserve"/>
      </w:r>
    </w:p>
    <w:p>
      <w:pPr>
        <w:jc w:val="both"/>
      </w:pPr>
      <w:r>
        <w:rPr/>
        <w:t xml:space="preserve">首先，文章强调了其开发的RAVI-CRISPR/MagicEye系统的高灵敏度和特异性，但并未提及其可能存在的误报率或漏报率。此外，文章也没有探讨该系统在实际应用中可能遇到的问题或限制。</w:t>
      </w:r>
    </w:p>
    <w:p>
      <w:pPr>
        <w:jc w:val="both"/>
      </w:pPr>
      <w:r>
        <w:rPr/>
        <w:t xml:space="preserve"/>
      </w:r>
    </w:p>
    <w:p>
      <w:pPr>
        <w:jc w:val="both"/>
      </w:pPr>
      <w:r>
        <w:rPr/>
        <w:t xml:space="preserve">其次，文章未探索任何反驳意见或其他方法来检测SARS-CoV-2和ASFV。虽然该系统被证明是有效的，但这并不意味着它是唯一可行的方法。</w:t>
      </w:r>
    </w:p>
    <w:p>
      <w:pPr>
        <w:jc w:val="both"/>
      </w:pPr>
      <w:r>
        <w:rPr/>
        <w:t xml:space="preserve"/>
      </w:r>
    </w:p>
    <w:p>
      <w:pPr>
        <w:jc w:val="both"/>
      </w:pPr>
      <w:r>
        <w:rPr/>
        <w:t xml:space="preserve">最后，在描述RAVI-CRISPR/MagicEye系统时，文章没有平等地呈现双方。例如，在描述其优点时，作者使用了“最简单”的形容词，并将其与其他方法进行比较。这种语言可能会给读者留下印象，认为该系统是无可争议的最佳选择。</w:t>
      </w:r>
    </w:p>
    <w:p>
      <w:pPr>
        <w:jc w:val="both"/>
      </w:pPr>
      <w:r>
        <w:rPr/>
        <w:t xml:space="preserve"/>
      </w:r>
    </w:p>
    <w:p>
      <w:pPr>
        <w:jc w:val="both"/>
      </w:pPr>
      <w:r>
        <w:rPr/>
        <w:t xml:space="preserve">总之，尽管该文章没有明显的偏见或宣传内容，但仍需要更全面地考虑其结果和局限性，并平等地呈现所有相关信息。</w:t>
      </w:r>
    </w:p>
    <w:p>
      <w:pPr>
        <w:pStyle w:val="Heading1"/>
      </w:pPr>
      <w:bookmarkStart w:id="5" w:name="_Toc5"/>
      <w:r>
        <w:t>Topics for further research:</w:t>
      </w:r>
      <w:bookmarkEnd w:id="5"/>
    </w:p>
    <w:p>
      <w:pPr>
        <w:spacing w:after="0"/>
        <w:numPr>
          <w:ilvl w:val="0"/>
          <w:numId w:val="2"/>
        </w:numPr>
      </w:pPr>
      <w:r>
        <w:rPr/>
        <w:t xml:space="preserve">RAVI-CRISPR/MagicEye系统的误报率或漏报率
</w:t>
      </w:r>
    </w:p>
    <w:p>
      <w:pPr>
        <w:spacing w:after="0"/>
        <w:numPr>
          <w:ilvl w:val="0"/>
          <w:numId w:val="2"/>
        </w:numPr>
      </w:pPr>
      <w:r>
        <w:rPr/>
        <w:t xml:space="preserve">该系统在实际应用中可能遇到的问题或限制
</w:t>
      </w:r>
    </w:p>
    <w:p>
      <w:pPr>
        <w:spacing w:after="0"/>
        <w:numPr>
          <w:ilvl w:val="0"/>
          <w:numId w:val="2"/>
        </w:numPr>
      </w:pPr>
      <w:r>
        <w:rPr/>
        <w:t xml:space="preserve">其他方法来检测SARS-CoV-2和ASFV的可行性
</w:t>
      </w:r>
    </w:p>
    <w:p>
      <w:pPr>
        <w:spacing w:after="0"/>
        <w:numPr>
          <w:ilvl w:val="0"/>
          <w:numId w:val="2"/>
        </w:numPr>
      </w:pPr>
      <w:r>
        <w:rPr/>
        <w:t xml:space="preserve">平等地呈现RAVI-CRISPR/MagicEye系统和其他方法的优缺点
</w:t>
      </w:r>
    </w:p>
    <w:p>
      <w:pPr>
        <w:spacing w:after="0"/>
        <w:numPr>
          <w:ilvl w:val="0"/>
          <w:numId w:val="2"/>
        </w:numPr>
      </w:pPr>
      <w:r>
        <w:rPr/>
        <w:t xml:space="preserve">该系统的局限性和结果的全面考虑
</w:t>
      </w:r>
    </w:p>
    <w:p>
      <w:pPr>
        <w:numPr>
          <w:ilvl w:val="0"/>
          <w:numId w:val="2"/>
        </w:numPr>
      </w:pPr>
      <w:r>
        <w:rPr/>
        <w:t xml:space="preserve">文章中可能存在的偏见或宣传内容</w:t>
      </w:r>
    </w:p>
    <w:p>
      <w:pPr>
        <w:pStyle w:val="Heading1"/>
      </w:pPr>
      <w:bookmarkStart w:id="6" w:name="_Toc6"/>
      <w:r>
        <w:t>Report location:</w:t>
      </w:r>
      <w:bookmarkEnd w:id="6"/>
    </w:p>
    <w:p>
      <w:hyperlink r:id="rId8" w:history="1">
        <w:r>
          <w:rPr>
            <w:color w:val="2980b9"/>
            <w:u w:val="single"/>
          </w:rPr>
          <w:t xml:space="preserve">https://www.fullpicture.app/item/579359640f9fed4b382a3ce1d5fcc0c4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096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713390/" TargetMode="External"/><Relationship Id="rId8" Type="http://schemas.openxmlformats.org/officeDocument/2006/relationships/hyperlink" Target="https://www.fullpicture.app/item/579359640f9fed4b382a3ce1d5fcc0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2024-01-06T05:41:35+01:00</dcterms:created>
  <dcterms:modified xsi:type="dcterms:W3CDTF">2024-01-06T05:41:35+01:00</dcterms:modified>
</cp:coreProperties>
</file>

<file path=docProps/custom.xml><?xml version="1.0" encoding="utf-8"?>
<Properties xmlns="http://schemas.openxmlformats.org/officeDocument/2006/custom-properties" xmlns:vt="http://schemas.openxmlformats.org/officeDocument/2006/docPropsVTypes"/>
</file>