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Biocultural diversity in an urban context: An indicator-based decision support tool to guide the planning and management of green infrastructure - ScienceDirect</w:t>
      </w:r>
      <w:br/>
      <w:hyperlink r:id="rId7" w:history="1">
        <w:r>
          <w:rPr>
            <w:color w:val="2980b9"/>
            <w:u w:val="single"/>
          </w:rPr>
          <w:t xml:space="preserve">https://www.sciencedirect.com/science/article/pii/S2665972721000325</w:t>
        </w:r>
      </w:hyperlink>
    </w:p>
    <w:p>
      <w:pPr>
        <w:pStyle w:val="Heading1"/>
      </w:pPr>
      <w:bookmarkStart w:id="2" w:name="_Toc2"/>
      <w:r>
        <w:t>Article summary:</w:t>
      </w:r>
      <w:bookmarkEnd w:id="2"/>
    </w:p>
    <w:p>
      <w:pPr>
        <w:jc w:val="both"/>
      </w:pPr>
      <w:r>
        <w:rPr/>
        <w:t xml:space="preserve">1. The article proposes an indicator-based tool to operationalize the biocultural diversity (BCD) framework in urban contexts, allowing for the assessment and analysis of urban BCD from a contextual and sensitizing perspective.</w:t>
      </w:r>
    </w:p>
    <w:p>
      <w:pPr>
        <w:jc w:val="both"/>
      </w:pPr>
      <w:r>
        <w:rPr/>
        <w:t xml:space="preserve">2. The tool includes indicators that highlight key features of socio-cultural and ecological systems, capturing the essence of biocultural diversity at the site-level.</w:t>
      </w:r>
    </w:p>
    <w:p>
      <w:pPr>
        <w:jc w:val="both"/>
      </w:pPr>
      <w:r>
        <w:rPr/>
        <w:t xml:space="preserve">3. The tool offers a uniform scoring system with site-specific benchmarks, making it applicable to any type of greenspace in any city, while accommodating different approaches based on community objectives.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"Biocultural diversity in an urban context: An indicator-based decision support tool to guide the planning and management of green infrastructure" presents a methodology for assessing and analyzing biocultural diversity (BCD) in urban greenspaces. While the article provides valuable insights into the importance of considering both ecological and social aspects in urban planning, there are several potential biases and limitations that need to be addressed.</w:t>
      </w:r>
    </w:p>
    <w:p>
      <w:pPr>
        <w:jc w:val="both"/>
      </w:pPr>
      <w:r>
        <w:rPr/>
        <w:t xml:space="preserve"/>
      </w:r>
    </w:p>
    <w:p>
      <w:pPr>
        <w:jc w:val="both"/>
      </w:pPr>
      <w:r>
        <w:rPr/>
        <w:t xml:space="preserve">One potential bias is the focus on urban greenspaces as positive contributors to cities' liveability without adequately addressing potential negative impacts. The article emphasizes the role of UGS in improving environmental quality, providing recreational opportunities, and fostering social cohesion. However, it fails to mention potential drawbacks such as displacement of marginalized communities due to gentrification or the unequal distribution of UGS across different neighborhoods.</w:t>
      </w:r>
    </w:p>
    <w:p>
      <w:pPr>
        <w:jc w:val="both"/>
      </w:pPr>
      <w:r>
        <w:rPr/>
        <w:t xml:space="preserve"/>
      </w:r>
    </w:p>
    <w:p>
      <w:pPr>
        <w:jc w:val="both"/>
      </w:pPr>
      <w:r>
        <w:rPr/>
        <w:t xml:space="preserve">Another limitation is the lack of discussion on trade-offs between different objectives in UGS planning and management. The article suggests that the proposed indicator-based tool can capture trade-offs between ecological, social, and political domains. However, it does not provide concrete examples or evidence of how these trade-offs can be effectively addressed or resolved. This omission undermines the practical applicability of the tool in real-world decision-making processes.</w:t>
      </w:r>
    </w:p>
    <w:p>
      <w:pPr>
        <w:jc w:val="both"/>
      </w:pPr>
      <w:r>
        <w:rPr/>
        <w:t xml:space="preserve"/>
      </w:r>
    </w:p>
    <w:p>
      <w:pPr>
        <w:jc w:val="both"/>
      </w:pPr>
      <w:r>
        <w:rPr/>
        <w:t xml:space="preserve">Furthermore, the article does not sufficiently address issues related to governance and power dynamics in UGS planning and management. While it briefly mentions indicators specifically addressing governance and stewardship, it does not delve into how these indicators can effectively capture power imbalances or ensure equitable decision-making processes. This oversight limits the tool's ability to address social justice concerns within urban greenspaces.</w:t>
      </w:r>
    </w:p>
    <w:p>
      <w:pPr>
        <w:jc w:val="both"/>
      </w:pPr>
      <w:r>
        <w:rPr/>
        <w:t xml:space="preserve"/>
      </w:r>
    </w:p>
    <w:p>
      <w:pPr>
        <w:jc w:val="both"/>
      </w:pPr>
      <w:r>
        <w:rPr/>
        <w:t xml:space="preserve">Additionally, there is a lack of empirical evidence or case studies supporting the effectiveness of the proposed indicator-based tool. The article mentions a pilot test conducted on twelve urban parks in Lisbon but does not provide any specific findings or results from this test. Without concrete evidence demonstrating the tool's feasibility and usefulness in real-world contexts, its value remains speculative.</w:t>
      </w:r>
    </w:p>
    <w:p>
      <w:pPr>
        <w:jc w:val="both"/>
      </w:pPr>
      <w:r>
        <w:rPr/>
        <w:t xml:space="preserve"/>
      </w:r>
    </w:p>
    <w:p>
      <w:pPr>
        <w:jc w:val="both"/>
      </w:pPr>
      <w:r>
        <w:rPr/>
        <w:t xml:space="preserve">Overall, while the article presents an interesting concept and framework for assessing biocultural diversity in urban greenspaces, it falls short in addressing potential biases, providing empirical evidence, and considering the complexities of trade-offs and governance issues. Further research and refinement of the proposed tool are needed to ensure its practicality and effectiveness in guiding urban planning and management decisions.</w:t>
      </w:r>
    </w:p>
    <w:p>
      <w:pPr>
        <w:pStyle w:val="Heading1"/>
      </w:pPr>
      <w:bookmarkStart w:id="5" w:name="_Toc5"/>
      <w:r>
        <w:t>Topics for further research:</w:t>
      </w:r>
      <w:bookmarkEnd w:id="5"/>
    </w:p>
    <w:p>
      <w:pPr>
        <w:spacing w:after="0"/>
        <w:numPr>
          <w:ilvl w:val="0"/>
          <w:numId w:val="2"/>
        </w:numPr>
      </w:pPr>
      <w:r>
        <w:rPr/>
        <w:t xml:space="preserve">Displacement of marginalized communities due to gentrification in urban greenspaces
</w:t>
      </w:r>
    </w:p>
    <w:p>
      <w:pPr>
        <w:spacing w:after="0"/>
        <w:numPr>
          <w:ilvl w:val="0"/>
          <w:numId w:val="2"/>
        </w:numPr>
      </w:pPr>
      <w:r>
        <w:rPr/>
        <w:t xml:space="preserve">Unequal distribution of urban greenspaces across different neighborhoods
</w:t>
      </w:r>
    </w:p>
    <w:p>
      <w:pPr>
        <w:spacing w:after="0"/>
        <w:numPr>
          <w:ilvl w:val="0"/>
          <w:numId w:val="2"/>
        </w:numPr>
      </w:pPr>
      <w:r>
        <w:rPr/>
        <w:t xml:space="preserve">Trade-offs between ecological</w:t>
      </w:r>
    </w:p>
    <w:p>
      <w:pPr>
        <w:spacing w:after="0"/>
        <w:numPr>
          <w:ilvl w:val="0"/>
          <w:numId w:val="2"/>
        </w:numPr>
      </w:pPr>
      <w:r>
        <w:rPr/>
        <w:t xml:space="preserve">social</w:t>
      </w:r>
    </w:p>
    <w:p>
      <w:pPr>
        <w:spacing w:after="0"/>
        <w:numPr>
          <w:ilvl w:val="0"/>
          <w:numId w:val="2"/>
        </w:numPr>
      </w:pPr>
      <w:r>
        <w:rPr/>
        <w:t xml:space="preserve">and political objectives in urban greenspace planning and management
</w:t>
      </w:r>
    </w:p>
    <w:p>
      <w:pPr>
        <w:spacing w:after="0"/>
        <w:numPr>
          <w:ilvl w:val="0"/>
          <w:numId w:val="2"/>
        </w:numPr>
      </w:pPr>
      <w:r>
        <w:rPr/>
        <w:t xml:space="preserve">Effective approaches to addressing trade-offs in urban greenspace decision-making processes
</w:t>
      </w:r>
    </w:p>
    <w:p>
      <w:pPr>
        <w:spacing w:after="0"/>
        <w:numPr>
          <w:ilvl w:val="0"/>
          <w:numId w:val="2"/>
        </w:numPr>
      </w:pPr>
      <w:r>
        <w:rPr/>
        <w:t xml:space="preserve">Power dynamics and governance issues in urban greenspace planning and management
</w:t>
      </w:r>
    </w:p>
    <w:p>
      <w:pPr>
        <w:numPr>
          <w:ilvl w:val="0"/>
          <w:numId w:val="2"/>
        </w:numPr>
      </w:pPr>
      <w:r>
        <w:rPr/>
        <w:t xml:space="preserve">Empirical evidence and case studies on the effectiveness of indicator-based tools in urban greenspace assessment and analysis.</w:t>
      </w:r>
    </w:p>
    <w:p>
      <w:pPr>
        <w:pStyle w:val="Heading1"/>
      </w:pPr>
      <w:bookmarkStart w:id="6" w:name="_Toc6"/>
      <w:r>
        <w:t>Report location:</w:t>
      </w:r>
      <w:bookmarkEnd w:id="6"/>
    </w:p>
    <w:p>
      <w:hyperlink r:id="rId8" w:history="1">
        <w:r>
          <w:rPr>
            <w:color w:val="2980b9"/>
            <w:u w:val="single"/>
          </w:rPr>
          <w:t xml:space="preserve">https://www.fullpicture.app/item/5740ed80759bdeeadb1456e4867b39a1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2C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72721000325" TargetMode="External"/><Relationship Id="rId8" Type="http://schemas.openxmlformats.org/officeDocument/2006/relationships/hyperlink" Target="https://www.fullpicture.app/item/5740ed80759bdeeadb1456e4867b39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2023-07-31T05:46:38+02:00</dcterms:created>
  <dcterms:modified xsi:type="dcterms:W3CDTF">2023-07-31T05:46:38+02:00</dcterms:modified>
</cp:coreProperties>
</file>

<file path=docProps/custom.xml><?xml version="1.0" encoding="utf-8"?>
<Properties xmlns="http://schemas.openxmlformats.org/officeDocument/2006/custom-properties" xmlns:vt="http://schemas.openxmlformats.org/officeDocument/2006/docPropsVTypes"/>
</file>