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Suppression of Selective Voltage-Gated Calcium Channels Alleviates Neuronal Degeneration and Dysfunction through Glutathione S-Transferase-Mediated Oxidative Stress Resistance in a Caenorhabditis elegans Model of Alzheimer’s Disease</w:t>
      </w:r>
      <w:br/>
      <w:hyperlink r:id="rId7" w:history="1">
        <w:r>
          <w:rPr>
            <w:color w:val="2980b9"/>
            <w:u w:val="single"/>
          </w:rPr>
          <w:t xml:space="preserve">https://www.hindawi.com/journals/omcl/2022/8287633/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Calcium dysregulation and oxidative stress are key factors in the pathogenesis of Alzheimer's disease.</w:t>
      </w:r>
    </w:p>
    <w:p>
      <w:pPr>
        <w:jc w:val="both"/>
      </w:pPr>
      <w:r>
        <w:rPr/>
        <w:t xml:space="preserve">2. Inhibition of selective voltage-gated calcium channels can alleviate neuronal degeneration and dysfunction through glutathione S-transferase-mediated oxidative stress resistance.</w:t>
      </w:r>
    </w:p>
    <w:p>
      <w:pPr>
        <w:jc w:val="both"/>
      </w:pPr>
      <w:r>
        <w:rPr/>
        <w:t xml:space="preserve">3. Ethylene glycol tetraacetic acid (EGTA) and nimodipine show remarkable inhibitory effects on Aβ1–42 aggregations by increasing oxidative stress resistance, delaying the onset of Aβ-induced paralysis, rescuing memory deficits, ameliorating behavioral dysfunction, decreasing vulnerability of neurons and synapses, and extending lifespan in a Caenorhabditis elegans model of Alzheimer’s disease.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作为一篇科学研究论文，该文章提供了对阿尔茨海默病（AD）的钙稳态和氧化应激的深入探讨。然而，该文章存在以下问题：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潜在偏见及其来源：该文章没有明确说明作者的利益冲突或资金来源，这可能会影响其结果和结论的客观性。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片面报道：该文章只关注了钙离子在AD中的作用，而忽略了其他因素如神经炎症、脑血管功能障碍等对AD发展的贡献。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无根据的主张：该文章声称抑制特定电压门控钙通道可以通过谷胱甘肽S转移酶介导的氧化应激抵抗来减轻神经退行性和功能障碍。然而，作者并未提供足够的证据来支持这一主张。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缺失考虑点：该文章没有考虑到药物治疗可能带来的副作用和风险，并且没有提供足够的信息来评估治疗方案是否安全可靠。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所提出主张缺乏证据：尽管作者声称使用某些药物可以延长C.elegans AD模型寿命并改善其认知能力，但是他们并未提供足够的数据来支持这一主张。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未探索反驳：该文章没有探讨其他学者对于他们所得出结论的反驳或不同看法，并且也没有进行充分讨论以解释任何争议点。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宣传内容与偏袒：尽管该文章声称其结果可以应用于AD治疗，但是它似乎过于强调某些药物对于改善C.elegans AD模型表现所产生积极影响，并且忽略了其他可能更有效或更安全的治疗方法。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总之，虽然该文章提供了有关AD发展机制方面有价值信息，但是它存在多个问题需要进一步解决。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Conflict of interest and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contributing to AD development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specific claims
</w:t>
      </w:r>
    </w:p>
    <w:p>
      <w:pPr>
        <w:spacing w:after="0"/>
        <w:numPr>
          <w:ilvl w:val="0"/>
          <w:numId w:val="2"/>
        </w:numPr>
      </w:pPr>
      <w:r>
        <w:rPr/>
        <w:t xml:space="preserve">Risks and side effects of treatment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treatments
</w:t>
      </w:r>
    </w:p>
    <w:p>
      <w:pPr>
        <w:numPr>
          <w:ilvl w:val="0"/>
          <w:numId w:val="2"/>
        </w:numPr>
      </w:pPr>
      <w:r>
        <w:rPr/>
        <w:t xml:space="preserve">Failure to explore counterarguments and biases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https://www.fullpicture.app/item/55cd2fe6627dee4df97f3f6d615f6e13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C38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indawi.com/journals/omcl/2022/8287633/" TargetMode="External"/><Relationship Id="rId8" Type="http://schemas.openxmlformats.org/officeDocument/2006/relationships/hyperlink" Target="https://www.fullpicture.app/item/55cd2fe6627dee4df97f3f6d615f6e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2024-02-25T00:33:45+01:00</dcterms:created>
  <dcterms:modified xsi:type="dcterms:W3CDTF">2024-02-25T00:33:45+01:00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