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沪深300再现惊人一幕 15分钟大扫货 什么情况？ _ 东方财富网</w:t>
      </w:r>
      <w:br/>
      <w:hyperlink r:id="rId7" w:history="1">
        <w:r>
          <w:rPr>
            <w:color w:val="2980b9"/>
            <w:u w:val="single"/>
          </w:rPr>
          <w:t xml:space="preserve">https://finance.eastmoney.com/a/202310242879663467.html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下午发生了令人震惊的一幕，沪深300ETF基金突然出现大量的整数买单，交易量在15分钟内增加到近4亿元。而在下午最后十分钟，指数基金的交易额更是达到了惊人的8.67亿元，全天交易额扩大至24亿元。</w:t>
      </w:r>
    </w:p>
    <w:p>
      <w:pPr>
        <w:jc w:val="both"/>
      </w:pPr>
      <w:r>
        <w:rPr/>
        <w:t xml:space="preserve">2. 中央汇金宣布购买交易所交易开放式指数基金（ETFs），并将继续增持。这一消息引起市场关注，并有望提振市场对资金的信心。根据10月23日ETF份额的变化来看，共有84只ETF基金实现了份额净增长，其中前30只基金总规模净增加19.1亿元，占总规模净增长的约90.5%。</w:t>
      </w:r>
    </w:p>
    <w:p>
      <w:pPr>
        <w:jc w:val="both"/>
      </w:pPr>
      <w:r>
        <w:rPr/>
        <w:t xml:space="preserve">3. 中央汇金的购买行为有助于改善市场资本结构失衡问题，并帮助提振市场信心。此举被认为是国家队入市的重要信号。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这篇文章主要报道了沪深300指数ETF在短时间内出现大量买单的情况，并解释了这一现象可能与中央汇金的购买行为有关。然而，这篇文章存在一些潜在的偏见和问题。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证据来支持其所述情况。它只是简单地描述了交易量的增加，并将其归因于中央汇金的购买行为。然而，没有提供更多细节或数据来支持这种观点。此外，文章也没有探讨其他可能导致交易量增加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缺乏对风险和负面影响的平衡考虑。它只关注了市场信心的提升和资金流入的积极影响，而忽略了潜在的风险和不确定性。例如，如果中央汇金继续增持ETF，可能会引发市场过度依赖国家队干预、市场失真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此外，文章还存在宣传内容和偏袒之嫌。它引用了多个相关报道，并给出了正面评价和积极解读，但没有提供相应的反驳或批评意见。这使得读者很难获得全面客观的信息。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总的来说，这篇文章在报道沪深300指数ETF交易量增加的情况时存在一些问题。它缺乏充分的证据和平衡的考虑，可能存在偏见和宣传内容。读者应该保持批判思维，并寻找更多来源和观点来获取全面准确的信息。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沪深300指数ETF交易量增加的原因
</w:t>
      </w:r>
    </w:p>
    <w:p>
      <w:pPr>
        <w:spacing w:after="0"/>
        <w:numPr>
          <w:ilvl w:val="0"/>
          <w:numId w:val="2"/>
        </w:numPr>
      </w:pPr>
      <w:r>
        <w:rPr/>
        <w:t xml:space="preserve">中央汇金的购买行为对市场的影响
</w:t>
      </w:r>
    </w:p>
    <w:p>
      <w:pPr>
        <w:spacing w:after="0"/>
        <w:numPr>
          <w:ilvl w:val="0"/>
          <w:numId w:val="2"/>
        </w:numPr>
      </w:pPr>
      <w:r>
        <w:rPr/>
        <w:t xml:space="preserve">其他可能导致交易量增加的因素
</w:t>
      </w:r>
    </w:p>
    <w:p>
      <w:pPr>
        <w:spacing w:after="0"/>
        <w:numPr>
          <w:ilvl w:val="0"/>
          <w:numId w:val="2"/>
        </w:numPr>
      </w:pPr>
      <w:r>
        <w:rPr/>
        <w:t xml:space="preserve">中央汇金继续增持ETF的风险和不确定性
</w:t>
      </w:r>
    </w:p>
    <w:p>
      <w:pPr>
        <w:spacing w:after="0"/>
        <w:numPr>
          <w:ilvl w:val="0"/>
          <w:numId w:val="2"/>
        </w:numPr>
      </w:pPr>
      <w:r>
        <w:rPr/>
        <w:t xml:space="preserve">市场过度依赖国家队干预的问题
</w:t>
      </w:r>
    </w:p>
    <w:p>
      <w:pPr>
        <w:numPr>
          <w:ilvl w:val="0"/>
          <w:numId w:val="2"/>
        </w:numPr>
      </w:pPr>
      <w:r>
        <w:rPr/>
        <w:t xml:space="preserve">文章中存在的宣传内容和偏袒问题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https://www.fullpicture.app/item/54aeb00b81e6bedc4e0aeb1486d31beb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2B6E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nance.eastmoney.com/a/202310242879663467.html" TargetMode="External"/><Relationship Id="rId8" Type="http://schemas.openxmlformats.org/officeDocument/2006/relationships/hyperlink" Target="https://www.fullpicture.app/item/54aeb00b81e6bedc4e0aeb1486d31be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2024-01-07T15:05:37+01:00</dcterms:created>
  <dcterms:modified xsi:type="dcterms:W3CDTF">2024-01-07T15:05:37+01:00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