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Media use and Ethnolinguistic Vitality in bilingual communities.pdf</w:t>
      </w:r>
      <w:br/>
      <w:hyperlink r:id="rId7" w:history="1">
        <w:r>
          <w:rPr>
            <w:color w:val="2980b9"/>
            <w:u w:val="single"/>
          </w:rPr>
          <w:t xml:space="preserve">https://typeset.io/library/zhu-guan-yu-yan-huo-li-can-kao-wen-xian-1-1-20xfwzca/media-use-and-ethnolinguistic-vitality-in-bilingual-1o021miz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Media can play an important role in maintaining and supporting ethnolinguistic vitality (EV) in bilingual communities.</w:t>
      </w:r>
    </w:p>
    <w:p>
      <w:pPr>
        <w:jc w:val="both"/>
      </w:pPr>
      <w:r>
        <w:rPr/>
        <w:t xml:space="preserve">2. The three independent variables that shape a language community's linguistic energy and survivability are status factors, demographic factors, and institutional factors.</w:t>
      </w:r>
    </w:p>
    <w:p>
      <w:pPr>
        <w:jc w:val="both"/>
      </w:pPr>
      <w:r>
        <w:rPr/>
        <w:t xml:space="preserve">3. Subjective perceptions of EV significantly shape intergroup behavior and should be considered alongside objective measures.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媒体在维护文化和语言多样性方面的作用，但存在一些潜在的偏见和局限性。首先，文章似乎默认了少数民族语言和相关文化的生命力较弱，需要通过媒体来维持其存在。然而，这种观点可能忽略了少数民族自身的力量和能力，并将他们视为被动接受外部帮助的对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出了“民族语言活力”（EV）理论作为分析工具，但该理论本身也存在一些问题。例如，它将社会结构因素简单地归纳为三个独立变量，并没有考虑到它们之间的相互作用和复杂性。此外，该理论还缺乏对主观因素（如个人态度、价值观等）的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此外，在方法上，文章采用了比较研究的策略，但由于不同情境之间差异太大，很难建立稳定的实证模型。因此，在得出结论时需要更加谨慎，并注意到可能存在的风险和局限性。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最后，在呈现双方观点时，文章似乎更倾向于支持少数民族语言和文化的存在和发展，而忽略了主流语言和文化的合法性和重要性。因此，需要更加平衡地呈现双方观点，并避免偏袒任何一方。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Empowerment of minority communities
</w:t>
      </w:r>
    </w:p>
    <w:p>
      <w:pPr>
        <w:spacing w:after="0"/>
        <w:numPr>
          <w:ilvl w:val="0"/>
          <w:numId w:val="2"/>
        </w:numPr>
      </w:pPr>
      <w:r>
        <w:rPr/>
        <w:t xml:space="preserve">Critique of Ethnic Vitality theory
</w:t>
      </w:r>
    </w:p>
    <w:p>
      <w:pPr>
        <w:spacing w:after="0"/>
        <w:numPr>
          <w:ilvl w:val="0"/>
          <w:numId w:val="2"/>
        </w:numPr>
      </w:pPr>
      <w:r>
        <w:rPr/>
        <w:t xml:space="preserve">Subjective factors in language and culture preservation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comparative research strategy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in drawing conclusions
</w:t>
      </w:r>
    </w:p>
    <w:p>
      <w:pPr>
        <w:numPr>
          <w:ilvl w:val="0"/>
          <w:numId w:val="2"/>
        </w:numPr>
      </w:pPr>
      <w:r>
        <w:rPr/>
        <w:t xml:space="preserve">Balancing perspectives on minority and mainstream cultures and languages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https://www.fullpicture.app/item/539fb96b8359d2ef75ab0c1efffa9776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5FE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zhu-guan-yu-yan-huo-li-can-kao-wen-xian-1-1-20xfwzca/media-use-and-ethnolinguistic-vitality-in-bilingual-1o021miz" TargetMode="External"/><Relationship Id="rId8" Type="http://schemas.openxmlformats.org/officeDocument/2006/relationships/hyperlink" Target="https://www.fullpicture.app/item/539fb96b8359d2ef75ab0c1efffa97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2023-03-30T15:29:32+02:00</dcterms:created>
  <dcterms:modified xsi:type="dcterms:W3CDTF">2023-03-30T15:29:32+02:00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